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b/>
          <w:bCs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ff0000"/>
          <w:sz w:val="23"/>
        </w:rPr>
        <w:t xml:space="preserve">В Самарской области до 2025 года продлили действие льготных ставок</w:t>
      </w:r>
      <w:r>
        <w:rPr>
          <w:b/>
          <w:bCs/>
          <w:color w:val="ff0000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b/>
          <w:bCs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ff0000"/>
          <w:sz w:val="23"/>
        </w:rPr>
        <w:t xml:space="preserve">по «упрощенке»</w:t>
      </w:r>
      <w:r>
        <w:rPr>
          <w:b/>
          <w:bCs/>
          <w:color w:val="ff0000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Льготные налоговые ставки продлены для некоторых категорий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предпринимателей, использующих упрощенную систему налогообложения.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Соответствующий законопроект сегодня был принят депутатами Самарской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губернской думы сразу в двух чтениях. С докладом об инструменте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поддержки на заседании выступил министр экономического развития 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инвестиций региона Дмитрий Богданов.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Новый документ предполагает снижение налоговых ставок по УСН в 3 раза.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Так, ставка в размере 2% установлена для предпринимателей, выбравших в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качестве налогообложения доходы и 5% - если объектом налогообложения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являются доходы, уменьшенные на величину расходов. При этом базовые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налоговые ставки по УСН составляют 6% и 15% соответственно.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Льгота коснется нескольких категорий предпринимателей. Под их действие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подпадают социальные предприниматели и организации, предельный доход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которых за год не превышает 50 млн рублей.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Еще одной категорией являются новые ИП, зарегистрированные с 1 января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2023 года и осуществляющие свою деятельность в малых населенных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пунктах, где проживает не более 5 тысяч человек. Эти предприниматели не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должны торговать подакцизными товарами, а предельный уровень их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годового дохода не должен превышать 10 млн рублей.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«Депутаты поддержали нашу инициативу по созданию льготных условий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для начинающих предпринимателей, работающих в малых населенных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пунктах и социальных предпринимателей, которые ведут важную работу,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но их бизнес часто не такой маржинальный, не такой рентабельный, -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пояснил Дмитрий Богданов. - По поручению Губернатора мы подготовили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законопроект и благодарны депутатам, что они проголосовали за принятие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этого важного закона. Мы рассчитываем, что новая мера станет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дополнительным стимулом для развития предпринимательства в небольших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населенных пунктах и серьезно поддержит социальный бизнес», - добавил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министр.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Действие льготы продлится с 2023 по 2025 годы. Напомним, что сниженные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ставки также действовали с 2021 по 2022 годы. Тогда мера была призвана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поддержать бизнес, пострадавший от последствий пандемии.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Статус социального предприятия субъекты МСП, соответствующие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определенным критериям, могут получить, обратившись в один из центров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«Мой бизнес» Самарской области. Благодаря реализации нацпроекта «Малое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и среднее предпринимательство» в регионе созданы комфортные условия для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стабильной работы и развития бизнеса.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Узнать </w:t>
      </w:r>
      <w:r/>
      <w:r>
        <w:rPr>
          <w:rFonts w:ascii="Arial" w:hAnsi="Arial" w:eastAsia="Arial" w:cs="Arial"/>
          <w:color w:val="1a1a1a"/>
          <w:sz w:val="23"/>
        </w:rPr>
        <w:t xml:space="preserve">о </w:t>
      </w:r>
      <w:r/>
      <w:r>
        <w:rPr>
          <w:rFonts w:ascii="Arial" w:hAnsi="Arial" w:eastAsia="Arial" w:cs="Arial"/>
          <w:sz w:val="23"/>
        </w:rPr>
      </w:r>
      <w:r>
        <w:rPr>
          <w:rFonts w:ascii="Arial" w:hAnsi="Arial" w:eastAsia="Arial" w:cs="Arial"/>
          <w:color w:val="1a1a1a"/>
          <w:sz w:val="23"/>
        </w:rPr>
        <w:t xml:space="preserve">действующих </w:t>
      </w:r>
      <w:r/>
      <w:r>
        <w:rPr>
          <w:rFonts w:ascii="Arial" w:hAnsi="Arial" w:eastAsia="Arial" w:cs="Arial"/>
          <w:sz w:val="23"/>
        </w:rPr>
      </w:r>
      <w:r>
        <w:rPr>
          <w:rFonts w:ascii="Arial" w:hAnsi="Arial" w:eastAsia="Arial" w:cs="Arial"/>
          <w:color w:val="1a1a1a"/>
          <w:sz w:val="23"/>
        </w:rPr>
        <w:t xml:space="preserve">мерах </w:t>
      </w:r>
      <w:r/>
      <w:r>
        <w:rPr>
          <w:rFonts w:ascii="Arial" w:hAnsi="Arial" w:eastAsia="Arial" w:cs="Arial"/>
          <w:sz w:val="23"/>
        </w:rPr>
      </w:r>
      <w:r>
        <w:rPr>
          <w:rFonts w:ascii="Arial" w:hAnsi="Arial" w:eastAsia="Arial" w:cs="Arial"/>
          <w:color w:val="1a1a1a"/>
          <w:sz w:val="23"/>
        </w:rPr>
        <w:t xml:space="preserve">поддержки </w:t>
      </w:r>
      <w:r/>
      <w:r>
        <w:rPr>
          <w:rFonts w:ascii="Arial" w:hAnsi="Arial" w:eastAsia="Arial" w:cs="Arial"/>
          <w:sz w:val="23"/>
        </w:rPr>
      </w:r>
      <w:r>
        <w:rPr>
          <w:rFonts w:ascii="Arial" w:hAnsi="Arial" w:eastAsia="Arial" w:cs="Arial"/>
          <w:color w:val="1a1a1a"/>
          <w:sz w:val="23"/>
        </w:rPr>
        <w:t xml:space="preserve">для </w:t>
      </w:r>
      <w:r/>
      <w:r>
        <w:rPr>
          <w:rFonts w:ascii="Arial" w:hAnsi="Arial" w:eastAsia="Arial" w:cs="Arial"/>
          <w:sz w:val="23"/>
        </w:rPr>
      </w:r>
      <w:r>
        <w:rPr>
          <w:rFonts w:ascii="Arial" w:hAnsi="Arial" w:eastAsia="Arial" w:cs="Arial"/>
          <w:color w:val="1a1a1a"/>
          <w:sz w:val="23"/>
        </w:rPr>
        <w:t xml:space="preserve">начинающих</w:t>
      </w:r>
      <w:r/>
      <w:r>
        <w:rPr>
          <w:rFonts w:ascii="Arial" w:hAnsi="Arial" w:eastAsia="Arial" w:cs="Arial"/>
          <w:sz w:val="23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предпринимателей и социального бизнеса можно на едином портале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господдержки mybiz63.ru. Получить консультацию по регистрации своего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дела и получению инструментов поддержки также можно по телефону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</w:rPr>
        <w:t xml:space="preserve">«горячей линии» 8-800-300-63-63.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2023-10-06T11:01:22Z</dcterms:modified>
</cp:coreProperties>
</file>