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cs="Times New Roman" w:ascii="Times New Roman" w:hAnsi="Times New Roman"/>
          <w:spacing w:val="2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ПАСПОРТ МУНИЦИПАЛЬНОЙ ПРОГРАММЫ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«СОДЕЙСТВИЕ РАЗВИТИЮ МАЛОГО  И СРЕДНЕГО ПРЕДПРИНИМАТЕЛЬСТВА В МУНИЦИПАЛЬНОМ РАЙОНЕ  АЛЕКСЕЕВСКИЙ САМАРСКОЙ ОБЛАСТИ   НА 2017-2021 ГОДЫ»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3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2376"/>
        <w:gridCol w:w="7194"/>
      </w:tblGrid>
      <w:tr>
        <w:trPr>
          <w:trHeight w:val="1307" w:hRule="atLeast"/>
        </w:trPr>
        <w:tc>
          <w:tcPr>
            <w:tcW w:w="23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муниципальной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19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Муниципальная программа «Содействие развитию малого и среднего предпринимательства в муниципальном районе Алексеевский Самарской области на 2017-2021 годы»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(далее - программа).</w:t>
            </w:r>
          </w:p>
        </w:tc>
      </w:tr>
      <w:tr>
        <w:trPr>
          <w:trHeight w:val="1053" w:hRule="atLeast"/>
        </w:trPr>
        <w:tc>
          <w:tcPr>
            <w:tcW w:w="23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Заказчик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19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муниципального района Алексеевский Самарской области.</w:t>
            </w:r>
          </w:p>
        </w:tc>
      </w:tr>
      <w:tr>
        <w:trPr>
          <w:trHeight w:val="1349" w:hRule="atLeast"/>
        </w:trPr>
        <w:tc>
          <w:tcPr>
            <w:tcW w:w="23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19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Отдел по поддержке предпринимательства и малого бизнеса Администрации муниципального района Алексеевский Самарской области.</w:t>
            </w:r>
          </w:p>
        </w:tc>
      </w:tr>
      <w:tr>
        <w:trPr>
          <w:trHeight w:val="1261" w:hRule="atLeast"/>
        </w:trPr>
        <w:tc>
          <w:tcPr>
            <w:tcW w:w="23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7194" w:type="dxa"/>
            <w:tcBorders/>
            <w:shd w:fill="auto" w:val="clear"/>
          </w:tcPr>
          <w:p>
            <w:pPr>
              <w:pStyle w:val="ConsPlusCel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Обеспечение   благоприятных   условий   для развития и повышения конкурентоспособности малого и среднего   предпринимательства    на     территории муниципального района Алексеевский Самарской области.</w:t>
            </w:r>
          </w:p>
        </w:tc>
      </w:tr>
      <w:tr>
        <w:trPr>
          <w:trHeight w:val="4783" w:hRule="atLeast"/>
        </w:trPr>
        <w:tc>
          <w:tcPr>
            <w:tcW w:w="23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7194" w:type="dxa"/>
            <w:tcBorders/>
            <w:shd w:fill="auto" w:val="clear"/>
          </w:tcPr>
          <w:p>
            <w:pPr>
              <w:pStyle w:val="ConsPlusCel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развитие системы информационной и консультационной</w:t>
            </w:r>
          </w:p>
          <w:p>
            <w:pPr>
              <w:pStyle w:val="ConsPlusCel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поддержки субъектов малого и  среднего предпринимательства, в том числе субъектов социального предпринимательства по по   вопросам   эффективного управления,    направленного     на      повышение конкурентоспособности продукции (работ,  услуг)  и ее продвижение на внутренние и внешние рынки;</w:t>
            </w:r>
          </w:p>
          <w:p>
            <w:pPr>
              <w:pStyle w:val="Normal"/>
              <w:spacing w:lineRule="atLeast" w:line="2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содействие по обеспечению доступа субъектов малого и среднего предпринимательства, в том числе субъектов социального предпринимательства  к инвестиционным, трудовым, финансовым ресурсам;</w:t>
            </w:r>
          </w:p>
          <w:p>
            <w:pPr>
              <w:pStyle w:val="Normal"/>
              <w:spacing w:lineRule="atLeast" w:line="2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содействие по подготовке, переподготовке и повышению квалификации кадров для  субъектов малого и среднего предпринимательства,</w:t>
            </w:r>
            <w:r>
              <w:rPr/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субъектов социального предпринимательства  и организаций инфраструктуры;</w:t>
            </w:r>
          </w:p>
          <w:p>
            <w:pPr>
              <w:pStyle w:val="Normal"/>
              <w:spacing w:lineRule="atLeast" w:line="2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развитие и поддержка предпринимательской инициативы.</w:t>
            </w:r>
          </w:p>
          <w:p>
            <w:pPr>
              <w:pStyle w:val="Normal"/>
              <w:spacing w:lineRule="atLeast" w:line="2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tLeast" w:line="2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tLeast" w:line="2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tLeast" w:line="2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tLeast" w:line="2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tLeast" w:line="2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Показатели (индикаторы) муниципальной программы</w:t>
            </w:r>
          </w:p>
        </w:tc>
        <w:tc>
          <w:tcPr>
            <w:tcW w:w="7194" w:type="dxa"/>
            <w:tcBorders/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количество субъектов малого и среднего предпринимательства (МСП) на 1000 жителей;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доля среднесписочной численности работников (без внешних совместителей)  МСП в среднесписочной численности работников (без внешних совместителей) всех предприятий и организаций;</w:t>
            </w:r>
          </w:p>
          <w:p>
            <w:pPr>
              <w:pStyle w:val="ConsPlusCel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объем поступлений в местный бюджет налога,  уплачиваемого   в   связи  с  применением единого налога на   вмененный   доход   для    отдельных    видов деятельности, а также налога на доходы  физических лиц  с  доходов,  полученных  физическими  лицами,</w:t>
            </w:r>
          </w:p>
          <w:p>
            <w:pPr>
              <w:pStyle w:val="ConsPlusCel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зарегистрированными  в   качестве   индивидуальных предпринимателей субъектов малого и среднего предпринимательства, в том числе субъектов социального предпринимательства, получивших поддержку;</w:t>
            </w:r>
          </w:p>
          <w:p>
            <w:pPr>
              <w:pStyle w:val="ConsPlusCel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Этапы и сроки реализации муниципальной программы</w:t>
            </w:r>
          </w:p>
        </w:tc>
        <w:tc>
          <w:tcPr>
            <w:tcW w:w="719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2017 – 2021 годы, муниципальная программа реализуется в один этап</w:t>
            </w:r>
          </w:p>
        </w:tc>
      </w:tr>
      <w:tr>
        <w:trPr/>
        <w:tc>
          <w:tcPr>
            <w:tcW w:w="23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Объемы бюджетных ассигнований муниципальной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программы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94" w:type="dxa"/>
            <w:tcBorders/>
            <w:shd w:fill="auto" w:val="clear"/>
          </w:tcPr>
          <w:p>
            <w:pPr>
              <w:pStyle w:val="Normal"/>
              <w:spacing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Общий объем средств, направляемых на реализацию мероприятий настоящей программы в 2017-2021 годах, составляет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254 808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руб., в том числе: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Бюджет муниципального района Алексеевский: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2017 г. – 0 тыс. руб.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 г. – 0 тыс. руб.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FF0000"/>
                <w:sz w:val="24"/>
                <w:szCs w:val="24"/>
              </w:rPr>
              <w:t>2019 г. – 150 415 руб.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2020 г. – 23 500 руб.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2021 г. –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80 893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руб.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 ежегодно уточняется по ходу реализации Программы.</w:t>
            </w:r>
          </w:p>
          <w:p>
            <w:pPr>
              <w:pStyle w:val="ConsPlusCel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 2017  -  2021  годах  планируется  привлечение в местный бюджет  средств  областного  бюджета на государственную   поддержку   малого   и   среднего  предпринимательства.</w:t>
            </w:r>
          </w:p>
        </w:tc>
      </w:tr>
      <w:tr>
        <w:trPr/>
        <w:tc>
          <w:tcPr>
            <w:tcW w:w="23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Ожидаемые результаты реализации муниципальной программы </w:t>
            </w:r>
          </w:p>
        </w:tc>
        <w:tc>
          <w:tcPr>
            <w:tcW w:w="7194" w:type="dxa"/>
            <w:tcBorders/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рост количества субъектов малого и среднего предпринимательства на 1000 жителей;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увеличение доли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организаций;</w:t>
            </w:r>
          </w:p>
          <w:p>
            <w:pPr>
              <w:pStyle w:val="ConsPlusCel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рост объема поступлений в местный бюджет от  применения единого налога на   вмененный   доход   для    отдельных    видов деятельности, а также налога на доходы  физических лиц  с  доходов,  полученных  физическими  лицами, зарегистрированными  в   качестве   индивидуальных предпринимателей.</w:t>
            </w:r>
          </w:p>
          <w:p>
            <w:pPr>
              <w:pStyle w:val="ConsPlusCel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  <w:t xml:space="preserve">        </w:t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/>
      </w:r>
    </w:p>
    <w:p>
      <w:pPr>
        <w:pStyle w:val="Normal"/>
        <w:jc w:val="both"/>
        <w:rPr>
          <w:szCs w:val="28"/>
        </w:rPr>
      </w:pPr>
      <w:r>
        <w:rPr>
          <w:rFonts w:cs="Times New Roman" w:ascii="Times New Roman" w:hAnsi="Times New Roman"/>
          <w:b/>
          <w:sz w:val="24"/>
          <w:szCs w:val="24"/>
        </w:rPr>
        <w:t>1.  Характеристика текущего состояния, основные проблемы развития малого и среднего предпринимательства муниципального района Алексеевский Самарской области показатели и анализ социальных, финансово-экономических и прочих рисков реализации муниципальной программы.</w:t>
      </w:r>
    </w:p>
    <w:p>
      <w:pPr>
        <w:pStyle w:val="Normal"/>
        <w:spacing w:lineRule="atLeast" w:line="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Перспективы развития экономики муниципального района Алексеевский, ее устойчивость к конъюнктуре рынка в полной  мере, зависит  и от развития  малого и среднего  предпринимательства.</w:t>
      </w:r>
    </w:p>
    <w:p>
      <w:pPr>
        <w:pStyle w:val="Normal"/>
        <w:spacing w:lineRule="atLeast" w:line="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 xml:space="preserve">Успешное предпринимательство является одной из основ социально-экономического благополучия жителей  района, способствует насыщению товарного рынка конкурентоспособной продукцией и услугами, повышению занятости населения путем сохранения  и создания дополнительных рабочих мест, внедрению новых форм организации производства, финансирования и сбыта, приближению товаров и услуг потребителю. </w:t>
      </w:r>
    </w:p>
    <w:p>
      <w:pPr>
        <w:pStyle w:val="Normal"/>
        <w:spacing w:lineRule="atLeast" w:line="20"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Анализ факторов, влияющих на развитие малого и среднего предпринимательства, показывает, что существующие проблемы можно решить объединенными  усилиями и согласованными действиями самих  субъектов малого предпринимательства, их общественных объединений, структур поддержки малого предпринимательства, органов государственной власти Самарской области и  органов местного самоуправления.</w:t>
      </w:r>
    </w:p>
    <w:p>
      <w:pPr>
        <w:pStyle w:val="Normal"/>
        <w:spacing w:lineRule="atLeast" w:line="20"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Необходим комплексный и последовательный подход, рассчитанный на долгосрочный период,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организацию процесса управления и контроля.</w:t>
      </w:r>
    </w:p>
    <w:p>
      <w:pPr>
        <w:pStyle w:val="Normal"/>
        <w:spacing w:lineRule="atLeast" w:line="2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</w:r>
      <w:r>
        <w:rPr>
          <w:rFonts w:eastAsia="Calibri" w:cs="Times New Roman" w:ascii="Times New Roman" w:hAnsi="Times New Roman"/>
          <w:sz w:val="24"/>
          <w:szCs w:val="24"/>
        </w:rPr>
        <w:t xml:space="preserve">По состоянию на 01.01.2016 г. в муниципальном районе Алексеевский зарегистрировано 64 малых предприятий и 198 предпринимателей без образования юридического лица. </w:t>
        <w:tab/>
      </w:r>
    </w:p>
    <w:p>
      <w:pPr>
        <w:pStyle w:val="Normal"/>
        <w:spacing w:lineRule="atLeast" w:line="2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ab/>
        <w:t>Численность работников на 01.01.2016 г. в субъектах малого и среднего предпринимательства составляет около 935 человек.</w:t>
      </w:r>
    </w:p>
    <w:p>
      <w:pPr>
        <w:pStyle w:val="Normal"/>
        <w:spacing w:lineRule="atLeast" w:line="20" w:before="0" w:after="0"/>
        <w:ind w:firstLine="708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Поступление единого налога взимаемого в связи с применением упрощенной системы налогообложения на 01.01.2016г. составило 2181,7 тыс. руб.</w:t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</w:t>
      </w:r>
      <w:r>
        <w:rPr>
          <w:rFonts w:cs="Times New Roman" w:ascii="Times New Roman" w:hAnsi="Times New Roman"/>
          <w:sz w:val="24"/>
          <w:szCs w:val="24"/>
        </w:rPr>
        <w:t>Достигнутый уровень развития малого предпринимательства в муниципальном районе Алексеевский еще недостаточен с точки зрения требований рыночной экономики, для обеспечения устойчивости и необратимости указанных позитивных изменений.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В развитии малого и среднего предпринимательства </w:t>
      </w:r>
      <w:r>
        <w:rPr>
          <w:rFonts w:cs="Calibri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существует ряд проблем, сдерживающих интенсивное развитие:</w:t>
      </w:r>
    </w:p>
    <w:p>
      <w:pPr>
        <w:pStyle w:val="Normal"/>
        <w:spacing w:lineRule="atLeast" w:line="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-отсутствие нормативной правовой базы, регулирующей деятельность субъектов среднего предпринимательства на территории Самарской области; </w:t>
      </w:r>
    </w:p>
    <w:p>
      <w:pPr>
        <w:pStyle w:val="Normal"/>
        <w:spacing w:lineRule="atLeast" w:line="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действующие нормативно-правовые акты, регулирующие отношения в сфере малого и среднего предпринимательства, часто противоречат друг другу;</w:t>
      </w:r>
    </w:p>
    <w:p>
      <w:pPr>
        <w:pStyle w:val="Normal"/>
        <w:spacing w:lineRule="atLeast" w:line="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-сложная административно-разрешительная система по осуществлению деятельности субъектов малого и среднего предпринимательства (лицензирование, сертификация, система контроля и т.д.);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затрудненный доступ субъектов малого предпринимательства, особенно начинающих, к финансово-кредитным ресурсам.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>В рамках реализации муниципальной программы могут быть выделены следующие риски ее реализации.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Правовые риски связаны с изменением законодательства, что может привести к существенному увеличению планируемых сроков или изменению условий реализации мероприятий муниципальной программы.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Для снижения воздействия данной группы рисков необходимо привлекать основные заинтересованные стороны к  обсуждению при разработки проектов документов, которые впоследствии должны принять участие в их согласовании.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Финансовые риски связаны с возникновением бюджетного дефицита и недостаточным вследствие этого уровнем бюджетного финансирования, что может повлечь сокращение или прекращение реализации программных мероприятий.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Снижению финансовых рисков способствуют: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-ежегодное уточнение объемов финансовых средств, предусмотренных на реализацию мероприятий муниципальной программы;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-обеспечения правильного расчета требуемых объемов средств из местного бюджета, дополнительного финансирования из областного бюджета, а также возможного привлечения средств из внебюджетных источников.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Макроэкономические риски связаны с возможными кризисными явлениями в мировой и российской экономике, ухудшения внутренней и внешней конъюнктуры, снижения темпов роста национальной экономики и уровня инвестиционной активности, высокой инфляцией, а также с кризисом банковской системы и возникновением бюджетного дефицита.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Административные риски могут возникнуть в связи с низкой эффективностью взаимодействия заинтересованных сторон, что может повлечь за собой нарушение планируемых сроков реализации муниципальной программы, невыполнение ее задач, снижение эффективности использования ресурсов и качества выполнения мероприятий муниципальной программы.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Основными условиями минимизации административных рисков являются: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-повышение эффективности взаимодействия органов местного самоуправления с предпринимательским сообществом;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-своевременная корректировка мероприятий муниципальной программы.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Техногенные и экологические риски связаны с природными и климатическими явлениями и техногенными катастрофами в Российской Федерации.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Они могут привести к отвлечению средств от финансирования муниципальной программы в пользу других направлений развития района и переориентации на ликвидацию последствий катастроф.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Кадровые риски обусловлены определенным дефицитом высококвалифицированных кадров. Снижение влияния данной группы рисков предполагается посредством подготовки и переподготовки  (повышения квалификации) специалистов.</w:t>
      </w:r>
    </w:p>
    <w:p>
      <w:pPr>
        <w:pStyle w:val="Normal"/>
        <w:spacing w:lineRule="atLeast" w:line="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2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 Приоритеты и цели региональной и районной политики в сфере развития малого и среднего предпринимательства в муниципальном районе Алексеевский Самарской области, описание целей и задач муниципальной программы, планируемые конечные результаты реализации муниципальной программы, характеризующие целевое состояние (изменение состояния) в сфере реализации муниципальной программы.</w:t>
      </w:r>
    </w:p>
    <w:p>
      <w:pPr>
        <w:pStyle w:val="Normal"/>
        <w:spacing w:lineRule="atLeast" w:line="2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54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2.1. Приоритеты региональной и районной политики в сфере развития малого и среднего предпринимательства.</w:t>
      </w:r>
    </w:p>
    <w:p>
      <w:pPr>
        <w:pStyle w:val="Normal"/>
        <w:widowControl w:val="false"/>
        <w:spacing w:lineRule="auto" w:line="240" w:before="0" w:after="0"/>
        <w:ind w:firstLine="54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Приоритеты региональной и районной политики в сфере развития малого и среднего предпринимательства определены следующими нормативными правовыми документами: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hyperlink r:id="rId2">
        <w:r>
          <w:rPr>
            <w:rStyle w:val="ListLabel1"/>
            <w:rFonts w:cs="Times New Roman" w:ascii="Times New Roman" w:hAnsi="Times New Roman"/>
            <w:color w:val="0000FF"/>
            <w:sz w:val="24"/>
            <w:szCs w:val="24"/>
          </w:rPr>
          <w:t>Указом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Президента Российской Федерации от 07.05.2012 N 596 "О долгосрочной экономической политике";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hyperlink r:id="rId3">
        <w:r>
          <w:rPr>
            <w:rStyle w:val="ListLabel1"/>
            <w:rFonts w:cs="Times New Roman" w:ascii="Times New Roman" w:hAnsi="Times New Roman"/>
            <w:color w:val="0000FF"/>
            <w:sz w:val="24"/>
            <w:szCs w:val="24"/>
          </w:rPr>
          <w:t>Распоряжением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Правительства Российской Федерации от 17.11.2008 N 1662-р "Концепция долгосрочного социально-экономического развития Российской Федерации на период до 2020 года";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hyperlink r:id="rId4">
        <w:r>
          <w:rPr>
            <w:rStyle w:val="ListLabel1"/>
            <w:rFonts w:cs="Times New Roman" w:ascii="Times New Roman" w:hAnsi="Times New Roman"/>
            <w:color w:val="0000FF"/>
            <w:sz w:val="24"/>
            <w:szCs w:val="24"/>
          </w:rPr>
          <w:t>Прогнозом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долгосрочного социально-экономического развития Российской Федерации на период до 2030 года, утвержденным Правительством Российской Федерации 23.03.2013;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Бюджетным </w:t>
      </w:r>
      <w:hyperlink r:id="rId5">
        <w:r>
          <w:rPr>
            <w:rStyle w:val="ListLabel1"/>
            <w:rFonts w:cs="Times New Roman" w:ascii="Times New Roman" w:hAnsi="Times New Roman"/>
            <w:color w:val="0000FF"/>
            <w:sz w:val="24"/>
            <w:szCs w:val="24"/>
          </w:rPr>
          <w:t>посланием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Президента Российской Федерации Федеральному Собранию Российской Федерации от 13.06.2013 "О бюджетной политике в 2014 - 2016 годах".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Развитие предпринимательства, торговли и туризма является одним из приоритетных направлений </w:t>
      </w:r>
      <w:hyperlink r:id="rId6">
        <w:r>
          <w:rPr>
            <w:rStyle w:val="ListLabel1"/>
            <w:rFonts w:cs="Times New Roman" w:ascii="Times New Roman" w:hAnsi="Times New Roman"/>
            <w:color w:val="0000FF"/>
            <w:sz w:val="24"/>
            <w:szCs w:val="24"/>
          </w:rPr>
          <w:t>Стратегии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социально-экономического развития Самарской области на период до 2020 года, одобренной постановлением Правительства Самарской области от 09.10.2006 N 129.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tLeast" w:line="20" w:before="0" w:after="0"/>
        <w:ind w:firstLine="708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2.2.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Цель и задачи муниципальной программы.</w:t>
      </w:r>
    </w:p>
    <w:p>
      <w:pPr>
        <w:pStyle w:val="Normal"/>
        <w:spacing w:lineRule="atLeast" w:line="20" w:before="0" w:after="0"/>
        <w:ind w:firstLine="708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"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Целью программы является обеспечение   благоприятных   условий   для развития и повышения конкурентоспособности малого и среднего   предпринимательства    на     территории муниципального района Алексеевский Самарской области.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Для достижения поставленной цели необходимо решение следующих задач:</w:t>
      </w:r>
    </w:p>
    <w:p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развитие системы информационной и консультационной поддержки субъектов малого и  среднего предпринимательства, в том числе субъектов социального предпринимательства   по   вопросам   эффективного управления,    направленного     на      повышение конкурентоспособности продукции (работ,  услуг)  и ее продвижение на внутренние и внешние рынки;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содействие по обеспечению доступа субъектов малого и среднего предпринимательства, в том числе субъектов социального предпринимательства   к инвестиционным, трудовым, финансовым ресурсам;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содействие по подготовке, переподготовке и повышению квалификации кадров для  субъектов малого и среднего предпринимательства, в том числе субъектов социального предпринимательства   и организаций инфраструктуры;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развитие и поддержка предпринимательской инициативы.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2.3. Планируемые конечные результаты</w:t>
      </w:r>
    </w:p>
    <w:p>
      <w:pPr>
        <w:pStyle w:val="Normal"/>
        <w:spacing w:lineRule="atLeast" w:line="2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реализации муниципальной программы, характеризующие целевое состояние (изменение состояния) в сфере реализации муниципальной программы.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>Реализация программных мероприятий направлена на достижение следующих результатов: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повышение конкурентоспособности малого и среднего   предпринимательства    на     территории муниципального района Алексеевский Самарской области;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увеличение розничного товарооборота и повышение качества выпускаемой и реализуемой продукции и предоставляемых услуг населению;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обеспечение функционирования конкурентной среды, стимулирующей предпринимательскую активность и привлечение капитала в экономику;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повышение инвестиционной активности организаций реального сектора экономики, в том числе устойчивое развитие малого и среднего предпринимательства во всех отраслях реального сектора экономики;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повышение конкурентоспособности экономики  муниципального района Алексеевский Самарской области в целом.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2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 Перечень мероприятий</w:t>
      </w:r>
      <w:r>
        <w:rPr>
          <w:szCs w:val="28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органов местного самоуправления муниципального района Алексеевский Самарской области.</w:t>
      </w:r>
    </w:p>
    <w:p>
      <w:pPr>
        <w:pStyle w:val="Normal"/>
        <w:spacing w:lineRule="atLeast" w:line="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20"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Перечень мероприятий муниципальной программы с указанием финансовых ресурсов и сроков, необходимых для их реализации, приведены в приложении  1 к настоящей муниципальной программе. </w:t>
      </w:r>
    </w:p>
    <w:p>
      <w:pPr>
        <w:pStyle w:val="Normal"/>
        <w:spacing w:lineRule="atLeast" w:line="2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ind w:firstLine="709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4.Сроки и этапы реализации муниципальной программы в целом с указанием промежуточных результатов.</w:t>
      </w:r>
    </w:p>
    <w:p>
      <w:pPr>
        <w:pStyle w:val="Normal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Сроки реализации муниципальной программы с 2017 по 2021 годы. Муниципальная программа реализуется в один этап.</w:t>
      </w:r>
      <w:r>
        <w:rPr>
          <w:rFonts w:eastAsia="Calibri"/>
          <w:szCs w:val="28"/>
        </w:rPr>
        <w:t xml:space="preserve"> </w:t>
      </w:r>
      <w:r>
        <w:rPr>
          <w:rFonts w:eastAsia="Calibri" w:cs="Times New Roman" w:ascii="Times New Roman" w:hAnsi="Times New Roman"/>
          <w:sz w:val="24"/>
          <w:szCs w:val="24"/>
        </w:rPr>
        <w:t>Реализация Программы не предусматривает выделение отдельных этапов, поскольку программные мероприятия рассчитаны на реализацию в течение всего периода действия Программы.</w:t>
      </w:r>
    </w:p>
    <w:p>
      <w:pPr>
        <w:pStyle w:val="Normal"/>
        <w:spacing w:lineRule="atLeast" w:line="2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5. </w:t>
      </w:r>
      <w:r>
        <w:rPr>
          <w:rFonts w:cs="Times New Roman" w:ascii="Times New Roman" w:hAnsi="Times New Roman"/>
          <w:b/>
          <w:color w:val="000000"/>
          <w:sz w:val="24"/>
          <w:szCs w:val="24"/>
        </w:rPr>
        <w:t>Описание мер правового</w:t>
      </w:r>
      <w:r>
        <w:rPr>
          <w:rFonts w:cs="Times New Roman" w:ascii="Times New Roman" w:hAnsi="Times New Roman"/>
          <w:b/>
          <w:sz w:val="24"/>
          <w:szCs w:val="24"/>
        </w:rPr>
        <w:t xml:space="preserve"> и муниципального регулирования в развитии малого и среднего предпринимательства, направленных на достижение целей  муниципальной программы.</w:t>
      </w:r>
    </w:p>
    <w:p>
      <w:pPr>
        <w:pStyle w:val="Normal"/>
        <w:spacing w:lineRule="atLeast" w:line="2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ind w:firstLine="584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Условие и порядок для оказания поддержки субъектам малого и среднего предпринимательства (далее СМСП) и организациям, образующим инфраструктуру их поддержки является </w:t>
      </w:r>
      <w:r>
        <w:rPr>
          <w:rFonts w:eastAsia="Times New Roman" w:ascii="Times New Roman" w:hAnsi="Times New Roman"/>
          <w:sz w:val="24"/>
          <w:szCs w:val="24"/>
        </w:rPr>
        <w:t>соответствие  СМСП требованиям, установленным статьей 4 Федерального закона от 24.07.2007 № 209-ФЗ "О развитии малого и среднего предпринимательства в Российской Федерации" (далее - Закон), за исключением СМСП, указанных в частях 3 и 4 статьи 14 Закона</w:t>
      </w:r>
      <w:r>
        <w:rPr>
          <w:rFonts w:eastAsia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584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8"/>
          <w:szCs w:val="28"/>
        </w:rPr>
        <w:tab/>
      </w:r>
      <w:r>
        <w:rPr>
          <w:rFonts w:eastAsia="Times New Roman" w:ascii="Times New Roman" w:hAnsi="Times New Roman"/>
          <w:sz w:val="24"/>
          <w:szCs w:val="24"/>
        </w:rPr>
        <w:t>Порядок обращения СМСП за оказанием поддержки и сроки рассмотрения таких обращений соответствует требованиям, установленным частями 2 и 6 статьи 14 Закона.</w:t>
      </w:r>
    </w:p>
    <w:p>
      <w:pPr>
        <w:pStyle w:val="Normal"/>
        <w:spacing w:lineRule="atLeast" w:line="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2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6. Информация о ресурсном обеспечении муниципальной программы за счет средств областного бюджета, федерального бюджета, местных бюджетов и внебюджетных источников (в разрезе главных распорядителей средств местного бюджета, планов мероприятий (мероприятий) органов местного самоуправления муниципального района Алексеевский Самарской области.</w:t>
      </w:r>
    </w:p>
    <w:p>
      <w:pPr>
        <w:pStyle w:val="Normal"/>
        <w:spacing w:lineRule="atLeast" w:line="2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20" w:before="0" w:after="0"/>
        <w:ind w:firstLine="708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Реализация муниципальной программы осуществляется за счет средств местного бюджета. Объем финансирования муниципальной программы в 2017 – 2021 годах за счет средств местного бюджета составит </w:t>
      </w:r>
      <w:r>
        <w:rPr>
          <w:rFonts w:cs="Times New Roman" w:ascii="Times New Roman" w:hAnsi="Times New Roman"/>
          <w:sz w:val="24"/>
          <w:szCs w:val="24"/>
        </w:rPr>
        <w:t>254 808</w:t>
      </w:r>
      <w:r>
        <w:rPr>
          <w:rFonts w:cs="Times New Roman" w:ascii="Times New Roman" w:hAnsi="Times New Roman"/>
          <w:sz w:val="24"/>
          <w:szCs w:val="24"/>
        </w:rPr>
        <w:t xml:space="preserve"> рублей, в том числе:</w:t>
      </w:r>
    </w:p>
    <w:p>
      <w:pPr>
        <w:pStyle w:val="Normal"/>
        <w:spacing w:lineRule="atLeast" w:line="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2017 г. – 0 тыс. руб.</w:t>
      </w:r>
    </w:p>
    <w:p>
      <w:pPr>
        <w:pStyle w:val="Normal"/>
        <w:spacing w:lineRule="atLeast" w:line="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2018 г. – 0 тыс. руб.</w:t>
      </w:r>
    </w:p>
    <w:p>
      <w:pPr>
        <w:pStyle w:val="Normal"/>
        <w:spacing w:lineRule="atLeast" w:line="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2019 г. – 150 415  руб.</w:t>
      </w:r>
    </w:p>
    <w:p>
      <w:pPr>
        <w:pStyle w:val="Normal"/>
        <w:spacing w:lineRule="atLeast" w:line="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2020 г. – 23 500 руб. </w:t>
      </w:r>
    </w:p>
    <w:p>
      <w:pPr>
        <w:pStyle w:val="Normal"/>
        <w:spacing w:lineRule="atLeast" w:line="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2021 г. – </w:t>
      </w:r>
      <w:r>
        <w:rPr>
          <w:rFonts w:cs="Times New Roman" w:ascii="Times New Roman" w:hAnsi="Times New Roman"/>
          <w:sz w:val="24"/>
          <w:szCs w:val="24"/>
        </w:rPr>
        <w:t>80 893</w:t>
      </w:r>
      <w:r>
        <w:rPr>
          <w:rFonts w:cs="Times New Roman" w:ascii="Times New Roman" w:hAnsi="Times New Roman"/>
          <w:sz w:val="24"/>
          <w:szCs w:val="24"/>
        </w:rPr>
        <w:t xml:space="preserve">  руб.</w:t>
      </w:r>
    </w:p>
    <w:p>
      <w:pPr>
        <w:sectPr>
          <w:footerReference w:type="default" r:id="rId7"/>
          <w:type w:val="nextPage"/>
          <w:pgSz w:w="11906" w:h="16838"/>
          <w:pgMar w:left="1701" w:right="850" w:header="0" w:top="851" w:footer="708" w:bottom="1134" w:gutter="0"/>
          <w:pgNumType w:fmt="decimal"/>
          <w:formProt w:val="false"/>
          <w:textDirection w:val="lrTb"/>
          <w:docGrid w:type="default" w:linePitch="360" w:charSpace="4096"/>
        </w:sectPr>
        <w:pStyle w:val="Normal"/>
        <w:spacing w:lineRule="atLeast" w:line="2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2017 – 2021 годах планируется привлечение в местный бюджет средства областного бюджета на государственную поддержку малого и среднего предпринимательства в Самарской области.</w:t>
      </w:r>
    </w:p>
    <w:p>
      <w:pPr>
        <w:pStyle w:val="Normal"/>
        <w:tabs>
          <w:tab w:val="left" w:pos="3165" w:leader="none"/>
        </w:tabs>
        <w:spacing w:before="0" w:after="200"/>
        <w:rPr/>
      </w:pPr>
      <w:r>
        <w:rPr/>
      </w:r>
    </w:p>
    <w:sectPr>
      <w:footerReference w:type="default" r:id="rId8"/>
      <w:type w:val="nextPage"/>
      <w:pgSz w:w="11906" w:h="16838"/>
      <w:pgMar w:left="1701" w:right="851" w:header="0" w:top="1134" w:footer="709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swiss"/>
    <w:pitch w:val="default"/>
  </w:font>
  <w:font w:name="Tahoma">
    <w:charset w:val="01"/>
    <w:family w:val="swiss"/>
    <w:pitch w:val="default"/>
  </w:font>
  <w:font w:name="PT Sans">
    <w:charset w:val="01"/>
    <w:family w:val="swiss"/>
    <w:pitch w:val="default"/>
  </w:font>
  <w:font w:name="Arial">
    <w:charset w:val="01"/>
    <w:family w:val="swiss"/>
    <w:pitch w:val="default"/>
  </w:font>
  <w:font w:name="Courier New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257693830"/>
    </w:sdtPr>
    <w:sdtContent>
      <w:p>
        <w:pPr>
          <w:pStyle w:val="Style27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  <w:p>
        <w:pPr>
          <w:pStyle w:val="Style27"/>
          <w:rPr/>
        </w:pPr>
        <w:r>
          <w:rPr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649366304"/>
    </w:sdtPr>
    <w:sdtContent>
      <w:p>
        <w:pPr>
          <w:pStyle w:val="Style27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  <w:p>
        <w:pPr>
          <w:pStyle w:val="Style27"/>
          <w:rPr/>
        </w:pPr>
        <w:r>
          <w:rPr/>
        </w:r>
      </w:p>
    </w:sdtContent>
  </w:sdt>
</w:ft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048e2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с отступом Знак"/>
    <w:basedOn w:val="DefaultParagraphFont"/>
    <w:link w:val="a4"/>
    <w:qFormat/>
    <w:rsid w:val="001a3262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5" w:customStyle="1">
    <w:name w:val="Основной текст Знак"/>
    <w:basedOn w:val="DefaultParagraphFont"/>
    <w:link w:val="a6"/>
    <w:qFormat/>
    <w:rsid w:val="001a3262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6" w:customStyle="1">
    <w:name w:val="Текст выноски Знак"/>
    <w:basedOn w:val="DefaultParagraphFont"/>
    <w:link w:val="a9"/>
    <w:uiPriority w:val="99"/>
    <w:semiHidden/>
    <w:qFormat/>
    <w:rsid w:val="00e55430"/>
    <w:rPr>
      <w:rFonts w:ascii="Tahoma" w:hAnsi="Tahoma" w:cs="Tahoma"/>
      <w:sz w:val="16"/>
      <w:szCs w:val="16"/>
    </w:rPr>
  </w:style>
  <w:style w:type="character" w:styleId="Style17" w:customStyle="1">
    <w:name w:val="Верхний колонтитул Знак"/>
    <w:basedOn w:val="DefaultParagraphFont"/>
    <w:link w:val="ab"/>
    <w:uiPriority w:val="99"/>
    <w:qFormat/>
    <w:rsid w:val="000a1279"/>
    <w:rPr/>
  </w:style>
  <w:style w:type="character" w:styleId="Style18" w:customStyle="1">
    <w:name w:val="Нижний колонтитул Знак"/>
    <w:basedOn w:val="DefaultParagraphFont"/>
    <w:link w:val="ad"/>
    <w:uiPriority w:val="99"/>
    <w:qFormat/>
    <w:rsid w:val="000a1279"/>
    <w:rPr/>
  </w:style>
  <w:style w:type="character" w:styleId="ListLabel1">
    <w:name w:val="ListLabel 1"/>
    <w:qFormat/>
    <w:rPr>
      <w:rFonts w:ascii="Times New Roman" w:hAnsi="Times New Roman" w:cs="Times New Roman"/>
      <w:color w:val="0000FF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21">
    <w:name w:val="Body Text"/>
    <w:basedOn w:val="Normal"/>
    <w:link w:val="a7"/>
    <w:rsid w:val="001a3262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22">
    <w:name w:val="List"/>
    <w:basedOn w:val="Style21"/>
    <w:pPr/>
    <w:rPr>
      <w:rFonts w:ascii="PT Sans" w:hAnsi="PT Sans" w:cs="Noto Sans Devanagari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paragraph" w:styleId="1" w:customStyle="1">
    <w:name w:val="Обычный1"/>
    <w:qFormat/>
    <w:rsid w:val="00692a5e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ConsPlusNormal" w:customStyle="1">
    <w:name w:val="ConsPlusNormal"/>
    <w:qFormat/>
    <w:rsid w:val="00f317b3"/>
    <w:pPr>
      <w:widowControl w:val="fals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Nonformat" w:customStyle="1">
    <w:name w:val="ConsPlusNonformat"/>
    <w:qFormat/>
    <w:rsid w:val="00f317b3"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Style25">
    <w:name w:val="Body Text Indent"/>
    <w:basedOn w:val="Normal"/>
    <w:link w:val="a5"/>
    <w:rsid w:val="001a3262"/>
    <w:pPr>
      <w:tabs>
        <w:tab w:val="left" w:pos="-1418" w:leader="none"/>
      </w:tabs>
      <w:spacing w:lineRule="auto" w:line="240" w:before="0" w:after="0"/>
      <w:ind w:left="3402" w:hanging="0"/>
      <w:jc w:val="center"/>
    </w:pPr>
    <w:rPr>
      <w:rFonts w:ascii="Times New Roman" w:hAnsi="Times New Roman" w:eastAsia="Times New Roman" w:cs="Times New Roman"/>
      <w:sz w:val="28"/>
      <w:szCs w:val="20"/>
    </w:rPr>
  </w:style>
  <w:style w:type="paragraph" w:styleId="NormalWeb">
    <w:name w:val="Normal (Web)"/>
    <w:basedOn w:val="Normal"/>
    <w:qFormat/>
    <w:rsid w:val="001a3262"/>
    <w:pPr>
      <w:spacing w:lineRule="auto" w:line="240" w:before="100" w:after="100"/>
    </w:pPr>
    <w:rPr>
      <w:rFonts w:ascii="Times New Roman" w:hAnsi="Times New Roman" w:eastAsia="Times New Roman" w:cs="Times New Roman"/>
      <w:sz w:val="24"/>
      <w:szCs w:val="20"/>
    </w:rPr>
  </w:style>
  <w:style w:type="paragraph" w:styleId="BalloonText">
    <w:name w:val="Balloon Text"/>
    <w:basedOn w:val="Normal"/>
    <w:link w:val="aa"/>
    <w:uiPriority w:val="99"/>
    <w:semiHidden/>
    <w:unhideWhenUsed/>
    <w:qFormat/>
    <w:rsid w:val="00e55430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6">
    <w:name w:val="Header"/>
    <w:basedOn w:val="Normal"/>
    <w:link w:val="ac"/>
    <w:uiPriority w:val="99"/>
    <w:unhideWhenUsed/>
    <w:rsid w:val="000a1279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7">
    <w:name w:val="Footer"/>
    <w:basedOn w:val="Normal"/>
    <w:link w:val="ae"/>
    <w:uiPriority w:val="99"/>
    <w:unhideWhenUsed/>
    <w:rsid w:val="000a1279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8" w:customStyle="1">
    <w:name w:val="Знак Знак Знак Знак"/>
    <w:basedOn w:val="Normal"/>
    <w:uiPriority w:val="99"/>
    <w:qFormat/>
    <w:rsid w:val="0090550c"/>
    <w:pPr>
      <w:spacing w:lineRule="auto" w:line="240" w:before="0" w:after="60"/>
      <w:ind w:firstLine="709"/>
      <w:jc w:val="both"/>
    </w:pPr>
    <w:rPr>
      <w:rFonts w:ascii="Arial" w:hAnsi="Arial" w:eastAsia="Times New Roman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e63e20"/>
    <w:pPr>
      <w:spacing w:before="0" w:after="200"/>
      <w:ind w:left="720" w:hanging="0"/>
      <w:contextualSpacing/>
    </w:pPr>
    <w:rPr/>
  </w:style>
  <w:style w:type="paragraph" w:styleId="ConsPlusCell" w:customStyle="1">
    <w:name w:val="ConsPlusCell"/>
    <w:uiPriority w:val="99"/>
    <w:qFormat/>
    <w:rsid w:val="00bb70e9"/>
    <w:pPr>
      <w:widowControl w:val="false"/>
      <w:bidi w:val="0"/>
      <w:spacing w:lineRule="auto" w:line="240" w:before="0" w:after="0"/>
      <w:jc w:val="left"/>
    </w:pPr>
    <w:rPr>
      <w:rFonts w:ascii="Calibri" w:hAnsi="Calibri" w:cs="Calibri" w:eastAsia="" w:asciiTheme="minorHAns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c5523c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E542F1686544D5531D3DB68D7EB11037DD649B5D3324B7EFD1D9C67A2DXAJEN" TargetMode="External"/><Relationship Id="rId3" Type="http://schemas.openxmlformats.org/officeDocument/2006/relationships/hyperlink" Target="consultantplus://offline/ref=E542F1686544D5531D3DB68D7EB11037D566945E362CEAE5D980CA78X2JAN" TargetMode="External"/><Relationship Id="rId4" Type="http://schemas.openxmlformats.org/officeDocument/2006/relationships/hyperlink" Target="consultantplus://offline/ref=E542F1686544D5531D3DB68D7EB11037DD62965F3E27B7EFD1D9C67A2DXAJEN" TargetMode="External"/><Relationship Id="rId5" Type="http://schemas.openxmlformats.org/officeDocument/2006/relationships/hyperlink" Target="consultantplus://offline/ref=E542F1686544D5531D3DB68D7EB11037DD62955B3225B7EFD1D9C67A2DXAJEN" TargetMode="External"/><Relationship Id="rId6" Type="http://schemas.openxmlformats.org/officeDocument/2006/relationships/hyperlink" Target="consultantplus://offline/ref=E542F1686544D5531D3DA88068DD4C3FDA6DCC533624BCBF8E869D277AA77944BEA3CC1D6CCD8DC71155ABX1J2N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A290B-B087-4F28-8F80-B7F72550A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LibreOffice/6.0.5.2$Linux_X86_64 LibreOffice_project/00m0$Build-2</Application>
  <Pages>7</Pages>
  <Words>1695</Words>
  <Characters>13135</Characters>
  <CharactersWithSpaces>14976</CharactersWithSpaces>
  <Paragraphs>114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2020-01-14T06:00:00Z</dcterms:created>
  <dc:creator>User</dc:creator>
  <dc:description/>
  <dc:language>ru-RU</dc:language>
  <cp:lastModifiedBy/>
  <cp:lastPrinted>2020-01-14T12:11:00Z</cp:lastPrinted>
  <dcterms:modified xsi:type="dcterms:W3CDTF">2021-12-23T10:00:43Z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