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0" w:type="dxa"/>
        <w:tblCellMar>
          <w:left w:w="70" w:type="dxa"/>
          <w:top w:w="0" w:type="dxa"/>
          <w:right w:w="70" w:type="dxa"/>
          <w:bottom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6" w:type="nil"/>
            <w:vAlign w:val="top"/>
            <w:textDirection w:val="lrTb"/>
            <w:noWrap w:val="false"/>
          </w:tcPr>
          <w:p>
            <w:pPr>
              <w:pStyle w:val="863"/>
              <w:rPr>
                <w:b/>
                <w:sz w:val="24"/>
                <w:szCs w:val="36"/>
              </w:rPr>
            </w:pPr>
            <w:r>
              <w:t xml:space="preserve">                                 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70909" cy="722881"/>
                      <wp:effectExtent l="0" t="0" r="0" b="0"/>
                      <wp:docPr id="1" name="" hidden="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" hidden="0"/>
                              <pic:cNvPicPr/>
                              <pic:nvPr isPhoto="0" userDrawn="0"/>
                            </pic:nvPicPr>
                            <pic:blipFill>
                              <a:blip r:embed="rId13"/>
                              <a:srcRect l="-45" t="-37" r="-45" b="-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70909" cy="7228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5.0pt;height:56.9pt;mso-wrap-distance-left:0.0pt;mso-wrap-distance-top:0.0pt;mso-wrap-distance-right:0.0pt;mso-wrap-distance-bottom:0.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b/>
                <w:sz w:val="24"/>
                <w:szCs w:val="36"/>
              </w:rPr>
            </w:r>
            <w:r/>
          </w:p>
          <w:p>
            <w:pPr>
              <w:pStyle w:val="863"/>
              <w:jc w:val="center"/>
              <w:rPr>
                <w:b/>
                <w:sz w:val="24"/>
                <w:szCs w:val="36"/>
              </w:rPr>
            </w:pPr>
            <w:r>
              <w:rPr>
                <w:b/>
                <w:sz w:val="24"/>
                <w:szCs w:val="36"/>
              </w:rPr>
            </w:r>
            <w:r/>
          </w:p>
          <w:p>
            <w:pPr>
              <w:pStyle w:val="863"/>
              <w:jc w:val="center"/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 xml:space="preserve">Администрация</w:t>
            </w:r>
            <w:r/>
          </w:p>
          <w:p>
            <w:pPr>
              <w:pStyle w:val="863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 xml:space="preserve">муниципального района</w:t>
            </w:r>
            <w:r/>
          </w:p>
          <w:p>
            <w:pPr>
              <w:pStyle w:val="863"/>
              <w:jc w:val="center"/>
            </w:pPr>
            <w:r>
              <w:rPr>
                <w:b/>
                <w:color w:val="000000"/>
                <w:sz w:val="28"/>
                <w:szCs w:val="28"/>
              </w:rPr>
              <w:t xml:space="preserve">Алексеевский</w:t>
            </w:r>
            <w:r/>
          </w:p>
          <w:p>
            <w:pPr>
              <w:pStyle w:val="863"/>
              <w:jc w:val="center"/>
            </w:pPr>
            <w:r>
              <w:rPr>
                <w:b/>
                <w:color w:val="000000"/>
                <w:spacing w:val="20"/>
                <w:sz w:val="28"/>
                <w:szCs w:val="28"/>
              </w:rPr>
              <w:t xml:space="preserve">Самарской  области</w:t>
            </w:r>
            <w:r/>
          </w:p>
          <w:p>
            <w:pPr>
              <w:pStyle w:val="863"/>
              <w:jc w:val="center"/>
              <w:rPr>
                <w:b/>
                <w:color w:val="000000"/>
                <w:spacing w:val="20"/>
                <w:sz w:val="28"/>
                <w:szCs w:val="28"/>
              </w:rPr>
            </w:pPr>
            <w:r>
              <w:rPr>
                <w:b/>
                <w:color w:val="000000"/>
                <w:spacing w:val="20"/>
                <w:sz w:val="28"/>
                <w:szCs w:val="28"/>
              </w:rPr>
            </w:r>
            <w:r/>
          </w:p>
          <w:p>
            <w:pPr>
              <w:pStyle w:val="863"/>
              <w:jc w:val="center"/>
            </w:pPr>
            <w:r>
              <w:rPr>
                <w:b/>
                <w:sz w:val="24"/>
              </w:rPr>
              <w:t xml:space="preserve">ПОСТАНОВЛЕНИЕ</w:t>
            </w:r>
            <w:r/>
          </w:p>
          <w:p>
            <w:pPr>
              <w:pStyle w:val="8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</w:r>
            <w:r/>
          </w:p>
          <w:p>
            <w:pPr>
              <w:pStyle w:val="863"/>
              <w:tabs>
                <w:tab w:val="left" w:pos="1050" w:leader="none"/>
                <w:tab w:val="left" w:pos="1290" w:leader="none"/>
                <w:tab w:val="center" w:pos="2198" w:leader="none"/>
              </w:tabs>
            </w:pPr>
            <w:r>
              <w:rPr>
                <w:b/>
                <w:sz w:val="24"/>
              </w:rPr>
              <w:tab/>
              <w:t xml:space="preserve">________№_______</w:t>
            </w:r>
            <w:r/>
          </w:p>
          <w:p>
            <w:pPr>
              <w:pStyle w:val="863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</w:r>
            <w:r/>
          </w:p>
          <w:p>
            <w:pPr>
              <w:pStyle w:val="863"/>
              <w:jc w:val="center"/>
            </w:pPr>
            <w:r>
              <w:rPr>
                <w:sz w:val="24"/>
              </w:rPr>
              <w:t xml:space="preserve">с. Алексеевка</w:t>
            </w:r>
            <w:r/>
          </w:p>
          <w:p>
            <w:pPr>
              <w:pStyle w:val="863"/>
              <w:rPr>
                <w:sz w:val="24"/>
              </w:rPr>
            </w:pPr>
            <w:r>
              <w:rPr>
                <w:sz w:val="24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536" w:type="nil"/>
            <w:vAlign w:val="top"/>
            <w:textDirection w:val="lrTb"/>
            <w:noWrap w:val="false"/>
          </w:tcPr>
          <w:p>
            <w:pPr>
              <w:pStyle w:val="918"/>
              <w:rPr>
                <w:sz w:val="24"/>
              </w:rPr>
            </w:pPr>
            <w:r>
              <w:rPr>
                <w:sz w:val="24"/>
              </w:rPr>
            </w:r>
            <w:r/>
          </w:p>
          <w:p>
            <w:pPr>
              <w:pStyle w:val="918"/>
            </w:pPr>
            <w:r/>
            <w:r/>
          </w:p>
          <w:p>
            <w:pPr>
              <w:pStyle w:val="918"/>
            </w:pPr>
            <w:r/>
            <w:r/>
          </w:p>
          <w:p>
            <w:pPr>
              <w:pStyle w:val="918"/>
            </w:pPr>
            <w:r/>
            <w:r/>
          </w:p>
        </w:tc>
      </w:tr>
    </w:tbl>
    <w:p>
      <w:pPr>
        <w:pStyle w:val="863"/>
        <w:jc w:val="both"/>
      </w:pPr>
      <w:r>
        <w:rPr>
          <w:b/>
          <w:sz w:val="26"/>
          <w:szCs w:val="26"/>
        </w:rPr>
        <w:t xml:space="preserve">    </w:t>
      </w:r>
      <w:r/>
    </w:p>
    <w:p>
      <w:pPr>
        <w:pStyle w:val="863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863"/>
        <w:jc w:val="both"/>
      </w:pPr>
      <w:r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О внесении изменений в постановление </w:t>
      </w:r>
      <w:r/>
    </w:p>
    <w:p>
      <w:pPr>
        <w:pStyle w:val="863"/>
        <w:jc w:val="both"/>
      </w:pPr>
      <w:r>
        <w:rPr>
          <w:b/>
          <w:sz w:val="28"/>
          <w:szCs w:val="28"/>
        </w:rPr>
        <w:t xml:space="preserve">Администрации муниципального района </w:t>
      </w:r>
      <w:r/>
    </w:p>
    <w:p>
      <w:pPr>
        <w:pStyle w:val="863"/>
        <w:jc w:val="both"/>
      </w:pPr>
      <w:r>
        <w:rPr>
          <w:b/>
          <w:sz w:val="28"/>
          <w:szCs w:val="28"/>
        </w:rPr>
        <w:t xml:space="preserve">Алексеевский  от 11.11.2021 №279</w:t>
      </w:r>
      <w:r/>
    </w:p>
    <w:p>
      <w:pPr>
        <w:pStyle w:val="863"/>
        <w:jc w:val="both"/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«Об утверждении муниципальной </w:t>
      </w:r>
      <w:r/>
    </w:p>
    <w:p>
      <w:pPr>
        <w:pStyle w:val="863"/>
        <w:jc w:val="both"/>
      </w:pPr>
      <w:r>
        <w:rPr>
          <w:b/>
          <w:sz w:val="28"/>
          <w:szCs w:val="28"/>
        </w:rPr>
        <w:t xml:space="preserve">программы «Развитие и поддержка</w:t>
      </w:r>
      <w:r/>
    </w:p>
    <w:p>
      <w:pPr>
        <w:pStyle w:val="863"/>
        <w:jc w:val="both"/>
      </w:pPr>
      <w:r>
        <w:rPr>
          <w:b/>
          <w:sz w:val="28"/>
          <w:szCs w:val="28"/>
        </w:rPr>
        <w:t xml:space="preserve">малого и среднего предпринимательства </w:t>
      </w:r>
      <w:r/>
    </w:p>
    <w:p>
      <w:pPr>
        <w:pStyle w:val="863"/>
        <w:jc w:val="both"/>
      </w:pPr>
      <w:r>
        <w:rPr>
          <w:b/>
          <w:sz w:val="28"/>
          <w:szCs w:val="28"/>
        </w:rPr>
        <w:t xml:space="preserve">в муниципальном районе Алексеевский </w:t>
      </w:r>
      <w:r/>
    </w:p>
    <w:p>
      <w:pPr>
        <w:pStyle w:val="863"/>
        <w:jc w:val="both"/>
      </w:pPr>
      <w:r>
        <w:rPr>
          <w:b/>
          <w:sz w:val="28"/>
          <w:szCs w:val="28"/>
        </w:rPr>
        <w:t xml:space="preserve">на 2022-2025 годы»</w:t>
      </w:r>
      <w:r>
        <w:rPr>
          <w:i/>
          <w:sz w:val="24"/>
          <w:szCs w:val="24"/>
        </w:rPr>
      </w:r>
      <w:r/>
    </w:p>
    <w:p>
      <w:pPr>
        <w:pStyle w:val="923"/>
        <w:spacing w:line="360" w:lineRule="auto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</w:r>
      <w:r/>
    </w:p>
    <w:p>
      <w:pPr>
        <w:pStyle w:val="923"/>
        <w:spacing w:line="276" w:lineRule="auto"/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В связи с уточнением </w:t>
      </w:r>
      <w:r>
        <w:rPr>
          <w:sz w:val="28"/>
          <w:szCs w:val="28"/>
        </w:rPr>
        <w:t xml:space="preserve">объема </w:t>
      </w:r>
      <w:r>
        <w:rPr>
          <w:sz w:val="28"/>
          <w:szCs w:val="28"/>
        </w:rPr>
        <w:t xml:space="preserve">финансирования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программы « Развитие и поддержка малого и среднего предпринимательства в муниципальном районе Алексеевский на 2022-2025г.г.»,</w:t>
      </w:r>
      <w:r/>
    </w:p>
    <w:p>
      <w:pPr>
        <w:pStyle w:val="923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923"/>
      </w:pPr>
      <w:r>
        <w:rPr>
          <w:b/>
          <w:sz w:val="28"/>
          <w:szCs w:val="28"/>
        </w:rPr>
        <w:t xml:space="preserve">Администрация муниципального района Алексеевский ПОСТАНОВЛЯЕТ</w:t>
      </w:r>
      <w:r>
        <w:rPr>
          <w:b/>
          <w:sz w:val="26"/>
          <w:szCs w:val="26"/>
        </w:rPr>
        <w:t xml:space="preserve">:</w:t>
      </w:r>
      <w:r/>
    </w:p>
    <w:p>
      <w:pPr>
        <w:pStyle w:val="923"/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923"/>
        <w:spacing w:line="276" w:lineRule="auto"/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1. Внести в постановление Администрации муниципального района Алексеевский от 11.11.2021 №279 «Об утверждении муниципальной программы «Развитие и поддержка малого и среднего предпринимательства в муниципальном районе Алексеевский на 2022-2025 годы»</w:t>
      </w:r>
      <w:r>
        <w:rPr>
          <w:i/>
          <w:sz w:val="24"/>
          <w:szCs w:val="24"/>
        </w:rPr>
        <w:t xml:space="preserve"> </w:t>
      </w:r>
      <w:r>
        <w:rPr>
          <w:sz w:val="28"/>
          <w:szCs w:val="28"/>
        </w:rPr>
        <w:t xml:space="preserve">следующие изменения:       </w:t>
      </w:r>
      <w:r/>
    </w:p>
    <w:p>
      <w:pPr>
        <w:pStyle w:val="863"/>
        <w:spacing w:before="0" w:after="0" w:line="276" w:lineRule="auto"/>
        <w:rPr>
          <w:rFonts w:ascii="Times New Roman" w:hAnsi="Times New Roman"/>
          <w:sz w:val="26"/>
          <w:szCs w:val="26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1.1.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в паспорте муниципальной программы</w:t>
      </w:r>
      <w:r>
        <w:rPr>
          <w:sz w:val="28"/>
          <w:szCs w:val="28"/>
        </w:rPr>
        <w:t xml:space="preserve"> «Развитие и поддержка малого и среднего предпринимательства в муниципальном районе Алексеевский на 2022-2025 годы»</w:t>
      </w:r>
      <w:r>
        <w:rPr>
          <w:sz w:val="28"/>
          <w:szCs w:val="28"/>
        </w:rPr>
        <w:t xml:space="preserve"> изложить в новой редакции:</w:t>
      </w:r>
      <w:r>
        <w:rPr>
          <w:rFonts w:ascii="Times New Roman" w:hAnsi="Times New Roman"/>
          <w:sz w:val="26"/>
          <w:szCs w:val="26"/>
        </w:rPr>
      </w:r>
      <w:r/>
    </w:p>
    <w:p>
      <w:pPr>
        <w:spacing w:before="0"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Финансирование мероприятий  Программы осуществляется за счет средств бюджета муниципального района Алексеевский  </w:t>
      </w:r>
      <w:r>
        <w:rPr>
          <w:rFonts w:ascii="Times New Roman" w:hAnsi="Times New Roman"/>
          <w:sz w:val="28"/>
          <w:szCs w:val="28"/>
        </w:rPr>
      </w:r>
      <w:r/>
    </w:p>
    <w:p>
      <w:pPr>
        <w:pStyle w:val="863"/>
        <w:spacing w:before="0" w:after="0" w:line="276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Общий объем финансирования за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период с 2022-2025 годы составляет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576,4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руб.,  в том числе:</w:t>
      </w:r>
      <w:r>
        <w:rPr>
          <w:sz w:val="28"/>
          <w:szCs w:val="28"/>
        </w:rPr>
      </w:r>
      <w:r/>
    </w:p>
    <w:p>
      <w:pPr>
        <w:pStyle w:val="863"/>
        <w:spacing w:before="0" w:after="0" w:line="276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2022 году –76,4</w:t>
      </w:r>
      <w:r>
        <w:rPr>
          <w:rFonts w:ascii="Times New Roman" w:hAnsi="Times New Roman"/>
          <w:color w:val="c0504d" w:themeColor="accent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тыс.руб.,</w:t>
      </w:r>
      <w:r>
        <w:rPr>
          <w:sz w:val="28"/>
          <w:szCs w:val="28"/>
        </w:rPr>
      </w:r>
      <w:r/>
    </w:p>
    <w:p>
      <w:pPr>
        <w:pStyle w:val="863"/>
        <w:spacing w:before="0" w:after="0" w:line="276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2023году – 500,0 тыс.руб.,</w:t>
      </w:r>
      <w:r>
        <w:rPr>
          <w:sz w:val="28"/>
          <w:szCs w:val="28"/>
        </w:rPr>
      </w:r>
      <w:r/>
    </w:p>
    <w:p>
      <w:pPr>
        <w:pStyle w:val="863"/>
        <w:spacing w:before="0" w:after="0" w:line="276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2024 году –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0</w:t>
      </w:r>
      <w:r>
        <w:rPr>
          <w:rFonts w:ascii="Times New Roman" w:hAnsi="Times New Roman"/>
          <w:color w:val="ce181e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тыс.руб.,</w:t>
      </w:r>
      <w:r>
        <w:rPr>
          <w:sz w:val="28"/>
          <w:szCs w:val="28"/>
        </w:rPr>
      </w:r>
      <w:r/>
    </w:p>
    <w:p>
      <w:pPr>
        <w:pStyle w:val="863"/>
        <w:spacing w:before="0" w:after="0" w:line="276" w:lineRule="auto"/>
        <w:rPr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в 2025 году – 0</w:t>
      </w:r>
      <w:r>
        <w:rPr>
          <w:rFonts w:ascii="Times New Roman" w:hAnsi="Times New Roman"/>
          <w:color w:val="ce181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тыс.руб.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>
        <w:rPr>
          <w:b/>
          <w:sz w:val="26"/>
          <w:szCs w:val="26"/>
        </w:rPr>
        <w:t xml:space="preserve">   </w:t>
      </w:r>
      <w:r>
        <w:rPr>
          <w:highlight w:val="yellow"/>
        </w:rPr>
      </w:r>
      <w:r/>
    </w:p>
    <w:p>
      <w:pPr>
        <w:pStyle w:val="863"/>
        <w:ind w:firstLine="0"/>
        <w:jc w:val="both"/>
        <w:spacing w:before="0" w:after="0" w:line="276" w:lineRule="auto"/>
        <w:tabs>
          <w:tab w:val="left" w:pos="425" w:leader="none"/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</w:r>
    </w:p>
    <w:p>
      <w:pPr>
        <w:ind w:firstLine="0"/>
        <w:jc w:val="both"/>
        <w:spacing w:before="0" w:after="0" w:line="276" w:lineRule="auto"/>
        <w:tabs>
          <w:tab w:val="left" w:pos="425" w:leader="none"/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1.2.</w:t>
      </w:r>
      <w:r>
        <w:rPr>
          <w:color w:val="ff0000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Раздел 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есурсное обеспечение реализации </w:t>
      </w:r>
      <w:r>
        <w:rPr/>
      </w:r>
      <w:r>
        <w:rPr>
          <w:rFonts w:ascii="Times New Roman" w:hAnsi="Times New Roman"/>
          <w:sz w:val="28"/>
          <w:szCs w:val="28"/>
        </w:rPr>
        <w:t xml:space="preserve">Муниципальной программы</w:t>
      </w:r>
      <w:r/>
      <w:r>
        <w:rPr>
          <w:sz w:val="28"/>
          <w:szCs w:val="28"/>
        </w:rPr>
      </w:r>
    </w:p>
    <w:p>
      <w:pPr>
        <w:ind w:firstLine="0"/>
        <w:jc w:val="both"/>
        <w:spacing w:before="0" w:after="0" w:line="276" w:lineRule="auto"/>
        <w:tabs>
          <w:tab w:val="left" w:pos="425" w:leader="none"/>
          <w:tab w:val="left" w:pos="567" w:leader="none"/>
        </w:tabs>
        <w:rPr>
          <w:rFonts w:ascii="Times New Roman" w:hAnsi="Times New Roman"/>
          <w:sz w:val="28"/>
          <w:szCs w:val="28"/>
        </w:rPr>
      </w:pPr>
      <w:r>
        <w:rPr>
          <w:color w:val="ff0000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Финансирование мероприятий Программы осуществляется за счет средств местного бюджета.</w:t>
      </w:r>
      <w:r/>
      <w:r/>
    </w:p>
    <w:p>
      <w:pPr>
        <w:pStyle w:val="863"/>
        <w:ind w:firstLine="0"/>
        <w:jc w:val="both"/>
        <w:spacing w:before="0" w:after="0" w:line="276" w:lineRule="auto"/>
      </w:pPr>
      <w:r>
        <w:rPr>
          <w:rFonts w:ascii="Times New Roman" w:hAnsi="Times New Roman"/>
          <w:sz w:val="28"/>
          <w:szCs w:val="28"/>
        </w:rPr>
        <w:t xml:space="preserve">     Всего по Программе предусматриваются расходы в размере 576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тыс.руб., в том числе:</w:t>
      </w:r>
      <w:r/>
    </w:p>
    <w:p>
      <w:pPr>
        <w:pStyle w:val="863"/>
        <w:ind w:firstLine="709"/>
        <w:jc w:val="both"/>
        <w:spacing w:before="0" w:after="0" w:line="276" w:lineRule="auto"/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ce181e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2022 год – 76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,4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тыс. руб.,</w:t>
      </w:r>
      <w:r>
        <w:rPr>
          <w:color w:val="000000"/>
        </w:rPr>
      </w:r>
      <w:r/>
    </w:p>
    <w:p>
      <w:pPr>
        <w:pStyle w:val="863"/>
        <w:ind w:firstLine="709"/>
        <w:jc w:val="both"/>
        <w:spacing w:before="0" w:after="0" w:line="276" w:lineRule="auto"/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2023 год – 500,0 тыс. руб.,</w:t>
      </w:r>
      <w:r>
        <w:rPr>
          <w:color w:val="000000"/>
        </w:rPr>
      </w:r>
      <w:r/>
    </w:p>
    <w:p>
      <w:pPr>
        <w:pStyle w:val="863"/>
        <w:ind w:firstLine="709"/>
        <w:jc w:val="both"/>
        <w:spacing w:before="0" w:after="0" w:line="276" w:lineRule="auto"/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2024 год – 0 тыс. руб.,</w:t>
      </w:r>
      <w:r>
        <w:rPr>
          <w:color w:val="000000"/>
        </w:rPr>
      </w:r>
      <w:r/>
    </w:p>
    <w:p>
      <w:pPr>
        <w:pStyle w:val="863"/>
        <w:ind w:firstLine="709"/>
        <w:jc w:val="both"/>
        <w:spacing w:before="0" w:after="0" w:line="276" w:lineRule="auto"/>
        <w:rPr>
          <w:rFonts w:ascii="Times New Roman" w:hAnsi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2025год –  0 тыс. руб.</w:t>
      </w:r>
      <w:r>
        <w:t xml:space="preserve">;</w:t>
      </w:r>
      <w:r>
        <w:rPr>
          <w:rFonts w:ascii="Times New Roman" w:hAnsi="Times New Roman"/>
          <w:color w:val="000000"/>
          <w:sz w:val="28"/>
          <w:szCs w:val="28"/>
        </w:rPr>
      </w:r>
      <w:r/>
    </w:p>
    <w:p>
      <w:pPr>
        <w:ind w:firstLine="0"/>
        <w:jc w:val="both"/>
        <w:spacing w:before="0" w:after="0" w:line="276" w:lineRule="auto"/>
        <w:tabs>
          <w:tab w:val="left" w:pos="283" w:leader="none"/>
        </w:tabs>
        <w:rPr>
          <w:highlight w:val="none"/>
        </w:rPr>
      </w:pPr>
      <w:r>
        <w:rPr>
          <w:highlight w:val="none"/>
        </w:rPr>
        <w:t xml:space="preserve">       </w:t>
      </w:r>
      <w:r>
        <w:rPr>
          <w:highlight w:val="none"/>
        </w:rPr>
      </w:r>
      <w:r>
        <w:rPr>
          <w:rFonts w:ascii="Times New Roman" w:hAnsi="Times New Roman"/>
          <w:sz w:val="28"/>
          <w:szCs w:val="28"/>
        </w:rPr>
        <w:t xml:space="preserve">При определении расходов бюджета района на выполнение Программы в 2022 - 2025 годах возможна корректировка с учетом возможностей местного бюджета в порядке, установленном законодательством изложить в новой редакции</w:t>
      </w:r>
      <w:r/>
      <w:r/>
      <w:r>
        <w:rPr>
          <w:highlight w:val="none"/>
        </w:rPr>
      </w:r>
    </w:p>
    <w:p>
      <w:pPr>
        <w:ind w:firstLine="0"/>
        <w:jc w:val="both"/>
        <w:spacing w:before="0" w:after="0" w:line="276" w:lineRule="auto"/>
        <w:rPr>
          <w:highlight w:val="none"/>
        </w:rPr>
      </w:pPr>
      <w:r>
        <w:rPr>
          <w:highlight w:val="none"/>
        </w:rPr>
        <w:t xml:space="preserve">   </w:t>
      </w:r>
      <w:r>
        <w:rPr>
          <w:highlight w:val="none"/>
        </w:rPr>
      </w:r>
    </w:p>
    <w:p>
      <w:pPr>
        <w:ind w:firstLine="0"/>
        <w:jc w:val="both"/>
        <w:spacing w:before="0" w:after="0" w:line="276" w:lineRule="auto"/>
        <w:rPr>
          <w:highlight w:val="none"/>
        </w:rPr>
      </w:pPr>
      <w:r>
        <w:rPr>
          <w:highlight w:val="none"/>
        </w:rPr>
        <w:t xml:space="preserve">   </w:t>
      </w:r>
      <w:r>
        <w:rPr>
          <w:sz w:val="28"/>
          <w:szCs w:val="28"/>
          <w:highlight w:val="none"/>
        </w:rPr>
        <w:t xml:space="preserve">1.3. Приложение 1 в новой редакции (прилагается).</w:t>
      </w:r>
      <w:r/>
      <w:r/>
    </w:p>
    <w:p>
      <w:pPr>
        <w:ind w:firstLine="709"/>
        <w:jc w:val="both"/>
        <w:spacing w:before="0" w:after="0" w:line="276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/>
    </w:p>
    <w:p>
      <w:pPr>
        <w:pStyle w:val="923"/>
        <w:spacing w:line="276" w:lineRule="auto"/>
      </w:pPr>
      <w:r>
        <w:rPr>
          <w:b/>
          <w:sz w:val="26"/>
          <w:szCs w:val="26"/>
        </w:rPr>
        <w:t xml:space="preserve">       </w:t>
      </w:r>
      <w:r>
        <w:rPr>
          <w:sz w:val="28"/>
          <w:szCs w:val="28"/>
        </w:rPr>
        <w:t xml:space="preserve">2. Довести настоящее постановление до сведения заинтересованных и юридических лиц и разместить</w:t>
      </w:r>
      <w:r>
        <w:t xml:space="preserve"> настоящее постановление  на официальном сайте Администрации муниципального района Алексеевский Самарской области в информационно-телекоммуникационной сети «Интернет», разделы «Документы», «Малый бизнес».  </w:t>
      </w:r>
      <w:r/>
    </w:p>
    <w:p>
      <w:pPr>
        <w:pStyle w:val="924"/>
        <w:ind w:left="0" w:right="0" w:firstLine="0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Контроль за исполнением настоящее постановления возложить на первого заместителя Главы муниципального района Алексеевский Устинова В.А.</w:t>
      </w:r>
      <w:r>
        <w:rPr>
          <w:sz w:val="28"/>
          <w:szCs w:val="28"/>
        </w:rPr>
      </w:r>
      <w:r/>
    </w:p>
    <w:p>
      <w:pPr>
        <w:pStyle w:val="923"/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4.  Настоящее постанов</w:t>
      </w:r>
      <w:r>
        <w:rPr>
          <w:sz w:val="28"/>
          <w:szCs w:val="28"/>
        </w:rPr>
        <w:t xml:space="preserve">ление вступает в силу со дня официального опубликования.</w:t>
      </w:r>
      <w:r/>
    </w:p>
    <w:p>
      <w:pPr>
        <w:pStyle w:val="923"/>
        <w:ind w:left="0" w:right="0" w:firstLine="360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923"/>
        <w:ind w:left="0" w:right="0" w:firstLine="360"/>
        <w:spacing w:line="360" w:lineRule="auto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pStyle w:val="923"/>
      </w:pPr>
      <w:r>
        <w:rPr>
          <w:b/>
          <w:sz w:val="26"/>
          <w:szCs w:val="26"/>
        </w:rPr>
        <w:t xml:space="preserve"> </w:t>
      </w:r>
      <w:r/>
    </w:p>
    <w:p>
      <w:pPr>
        <w:pStyle w:val="923"/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923"/>
      </w:pPr>
      <w:r>
        <w:rPr>
          <w:b/>
          <w:sz w:val="26"/>
          <w:szCs w:val="26"/>
        </w:rPr>
        <w:t xml:space="preserve"> </w:t>
      </w:r>
      <w:r>
        <w:rPr>
          <w:b/>
          <w:sz w:val="28"/>
          <w:szCs w:val="28"/>
        </w:rPr>
        <w:t xml:space="preserve">Глава муниципального </w:t>
      </w:r>
      <w:r/>
    </w:p>
    <w:p>
      <w:pPr>
        <w:pStyle w:val="923"/>
        <w:jc w:val="left"/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района Алексеевский                                                                    Г.А.Зацепина</w:t>
      </w:r>
      <w:r/>
    </w:p>
    <w:p>
      <w:pPr>
        <w:pStyle w:val="923"/>
      </w:pPr>
      <w:r>
        <w:rPr>
          <w:b/>
          <w:sz w:val="28"/>
          <w:szCs w:val="28"/>
        </w:rPr>
        <w:t xml:space="preserve">                                                                                  </w:t>
      </w:r>
      <w:r/>
    </w:p>
    <w:p>
      <w:pPr>
        <w:pStyle w:val="923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923"/>
        <w:jc w:val="left"/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pStyle w:val="923"/>
        <w:jc w:val="left"/>
        <w:rPr>
          <w:sz w:val="20"/>
          <w:szCs w:val="26"/>
        </w:rPr>
      </w:pPr>
      <w:r>
        <w:rPr>
          <w:sz w:val="20"/>
          <w:szCs w:val="26"/>
        </w:rPr>
      </w:r>
      <w:r/>
    </w:p>
    <w:p>
      <w:pPr>
        <w:pStyle w:val="923"/>
        <w:jc w:val="left"/>
        <w:rPr>
          <w:sz w:val="20"/>
          <w:szCs w:val="26"/>
        </w:rPr>
      </w:pPr>
      <w:r>
        <w:rPr>
          <w:sz w:val="20"/>
          <w:szCs w:val="26"/>
        </w:rPr>
      </w:r>
      <w:r/>
    </w:p>
    <w:p>
      <w:pPr>
        <w:pStyle w:val="923"/>
        <w:jc w:val="left"/>
        <w:rPr>
          <w:sz w:val="20"/>
        </w:rPr>
      </w:pPr>
      <w:r>
        <w:rPr>
          <w:sz w:val="20"/>
        </w:rPr>
      </w:r>
      <w:r/>
    </w:p>
    <w:p>
      <w:pPr>
        <w:pStyle w:val="923"/>
        <w:jc w:val="left"/>
        <w:rPr>
          <w:sz w:val="20"/>
        </w:rPr>
      </w:pPr>
      <w:r>
        <w:rPr>
          <w:sz w:val="20"/>
        </w:rPr>
      </w:r>
      <w:r/>
    </w:p>
    <w:p>
      <w:pPr>
        <w:pStyle w:val="923"/>
        <w:jc w:val="left"/>
        <w:rPr>
          <w:sz w:val="20"/>
        </w:rPr>
      </w:pPr>
      <w:r>
        <w:rPr>
          <w:sz w:val="20"/>
        </w:rPr>
      </w:r>
      <w:r/>
    </w:p>
    <w:p>
      <w:pPr>
        <w:pStyle w:val="923"/>
        <w:jc w:val="left"/>
        <w:rPr>
          <w:sz w:val="20"/>
        </w:rPr>
      </w:pPr>
      <w:r>
        <w:rPr>
          <w:sz w:val="20"/>
        </w:rPr>
      </w:r>
      <w:r/>
    </w:p>
    <w:p>
      <w:pPr>
        <w:pStyle w:val="923"/>
        <w:jc w:val="left"/>
        <w:rPr>
          <w:sz w:val="20"/>
        </w:rPr>
      </w:pPr>
      <w:r>
        <w:rPr>
          <w:sz w:val="20"/>
        </w:rPr>
      </w:r>
      <w:r/>
    </w:p>
    <w:p>
      <w:pPr>
        <w:pStyle w:val="923"/>
        <w:jc w:val="left"/>
        <w:rPr>
          <w:sz w:val="20"/>
        </w:rPr>
      </w:pPr>
      <w:r>
        <w:rPr>
          <w:sz w:val="20"/>
        </w:rPr>
      </w:r>
      <w:r/>
    </w:p>
    <w:p>
      <w:pPr>
        <w:pStyle w:val="923"/>
        <w:jc w:val="left"/>
        <w:rPr>
          <w:sz w:val="20"/>
        </w:rPr>
      </w:pPr>
      <w:r>
        <w:rPr>
          <w:sz w:val="20"/>
        </w:rPr>
      </w:r>
      <w:r/>
    </w:p>
    <w:p>
      <w:pPr>
        <w:pStyle w:val="923"/>
        <w:jc w:val="left"/>
      </w:pPr>
      <w:r>
        <w:rPr>
          <w:sz w:val="22"/>
          <w:szCs w:val="22"/>
        </w:rPr>
        <w:t xml:space="preserve">Марченко  </w:t>
      </w:r>
      <w:r/>
    </w:p>
    <w:p>
      <w:pPr>
        <w:pStyle w:val="923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(84671)2-22-78</w:t>
      </w:r>
      <w:r/>
    </w:p>
    <w:sectPr>
      <w:headerReference w:type="default" r:id="rId9"/>
      <w:headerReference w:type="first" r:id="rId10"/>
      <w:footerReference w:type="default" r:id="rId11"/>
      <w:footerReference w:type="first" r:id="rId12"/>
      <w:footnotePr>
        <w:numRestart w:val="continuous"/>
      </w:footnotePr>
      <w:endnotePr/>
      <w:type w:val="nextPage"/>
      <w:pgSz w:w="11906" w:h="16838" w:orient="portrait"/>
      <w:pgMar w:top="851" w:right="707" w:bottom="776" w:left="1701" w:header="720" w:footer="72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ans">
    <w:panose1 w:val="020B0503020203020204"/>
  </w:font>
  <w:font w:name="Tahoma">
    <w:panose1 w:val="020B06040305040402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8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2</w:t>
    </w:r>
    <w:r>
      <w:fldChar w:fldCharType="end"/>
    </w:r>
    <w:r/>
  </w:p>
  <w:p>
    <w:pPr>
      <w:pStyle w:val="92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64"/>
      <w:isLgl w:val="false"/>
      <w:suff w:val="nothing"/>
      <w:lvlText w:val=""/>
      <w:lvlJc w:val="left"/>
      <w:pPr>
        <w:pStyle w:val="863"/>
        <w:ind w:left="0" w:firstLine="0"/>
        <w:tabs>
          <w:tab w:val="num" w:pos="0" w:leader="none"/>
        </w:tabs>
      </w:pPr>
    </w:lvl>
    <w:lvl w:ilvl="1">
      <w:start w:val="1"/>
      <w:numFmt w:val="decimal"/>
      <w:pStyle w:val="865"/>
      <w:isLgl w:val="false"/>
      <w:suff w:val="nothing"/>
      <w:lvlText w:val=""/>
      <w:lvlJc w:val="left"/>
      <w:pPr>
        <w:pStyle w:val="863"/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863"/>
        <w:ind w:left="0" w:firstLine="0"/>
        <w:tabs>
          <w:tab w:val="num" w:pos="0" w:leader="none"/>
        </w:tabs>
      </w:pPr>
    </w:lvl>
    <w:lvl w:ilvl="3">
      <w:start w:val="1"/>
      <w:numFmt w:val="decimal"/>
      <w:pStyle w:val="866"/>
      <w:isLgl w:val="false"/>
      <w:suff w:val="nothing"/>
      <w:lvlText w:val=""/>
      <w:lvlJc w:val="left"/>
      <w:pPr>
        <w:pStyle w:val="863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863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863"/>
        <w:ind w:left="0" w:firstLine="0"/>
        <w:tabs>
          <w:tab w:val="num" w:pos="0" w:leader="none"/>
        </w:tabs>
      </w:pPr>
    </w:lvl>
    <w:lvl w:ilvl="6">
      <w:start w:val="1"/>
      <w:numFmt w:val="decimal"/>
      <w:pStyle w:val="867"/>
      <w:isLgl w:val="false"/>
      <w:suff w:val="nothing"/>
      <w:lvlText w:val=""/>
      <w:lvlJc w:val="left"/>
      <w:pPr>
        <w:pStyle w:val="863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863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863"/>
        <w:ind w:left="0" w:firstLine="0"/>
        <w:tabs>
          <w:tab w:val="num" w:pos="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table of figures"/>
    <w:basedOn w:val="863"/>
    <w:next w:val="863"/>
    <w:uiPriority w:val="99"/>
    <w:unhideWhenUsed/>
    <w:pPr>
      <w:spacing w:after="0" w:afterAutospacing="0"/>
    </w:pPr>
  </w:style>
  <w:style w:type="paragraph" w:styleId="685">
    <w:name w:val="Heading 1"/>
    <w:basedOn w:val="863"/>
    <w:next w:val="863"/>
    <w:link w:val="68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6">
    <w:name w:val="Heading 1 Char"/>
    <w:link w:val="685"/>
    <w:uiPriority w:val="9"/>
    <w:rPr>
      <w:rFonts w:ascii="Arial" w:hAnsi="Arial" w:eastAsia="Arial" w:cs="Arial"/>
      <w:sz w:val="40"/>
      <w:szCs w:val="40"/>
    </w:rPr>
  </w:style>
  <w:style w:type="paragraph" w:styleId="687">
    <w:name w:val="Heading 2"/>
    <w:basedOn w:val="863"/>
    <w:next w:val="863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8">
    <w:name w:val="Heading 2 Char"/>
    <w:link w:val="687"/>
    <w:uiPriority w:val="9"/>
    <w:rPr>
      <w:rFonts w:ascii="Arial" w:hAnsi="Arial" w:eastAsia="Arial" w:cs="Arial"/>
      <w:sz w:val="34"/>
    </w:rPr>
  </w:style>
  <w:style w:type="paragraph" w:styleId="689">
    <w:name w:val="Heading 3"/>
    <w:basedOn w:val="863"/>
    <w:next w:val="863"/>
    <w:link w:val="6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0">
    <w:name w:val="Heading 3 Char"/>
    <w:link w:val="689"/>
    <w:uiPriority w:val="9"/>
    <w:rPr>
      <w:rFonts w:ascii="Arial" w:hAnsi="Arial" w:eastAsia="Arial" w:cs="Arial"/>
      <w:sz w:val="30"/>
      <w:szCs w:val="30"/>
    </w:rPr>
  </w:style>
  <w:style w:type="paragraph" w:styleId="691">
    <w:name w:val="Heading 4"/>
    <w:basedOn w:val="863"/>
    <w:next w:val="863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2">
    <w:name w:val="Heading 4 Char"/>
    <w:link w:val="691"/>
    <w:uiPriority w:val="9"/>
    <w:rPr>
      <w:rFonts w:ascii="Arial" w:hAnsi="Arial" w:eastAsia="Arial" w:cs="Arial"/>
      <w:b/>
      <w:bCs/>
      <w:sz w:val="26"/>
      <w:szCs w:val="26"/>
    </w:rPr>
  </w:style>
  <w:style w:type="paragraph" w:styleId="693">
    <w:name w:val="Heading 5"/>
    <w:basedOn w:val="863"/>
    <w:next w:val="863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4">
    <w:name w:val="Heading 5 Char"/>
    <w:link w:val="693"/>
    <w:uiPriority w:val="9"/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863"/>
    <w:next w:val="863"/>
    <w:link w:val="6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6">
    <w:name w:val="Heading 6 Char"/>
    <w:link w:val="695"/>
    <w:uiPriority w:val="9"/>
    <w:rPr>
      <w:rFonts w:ascii="Arial" w:hAnsi="Arial" w:eastAsia="Arial" w:cs="Arial"/>
      <w:b/>
      <w:bCs/>
      <w:sz w:val="22"/>
      <w:szCs w:val="22"/>
    </w:rPr>
  </w:style>
  <w:style w:type="paragraph" w:styleId="697">
    <w:name w:val="Heading 7"/>
    <w:basedOn w:val="863"/>
    <w:next w:val="863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8">
    <w:name w:val="Heading 7 Char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863"/>
    <w:next w:val="863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0">
    <w:name w:val="Heading 8 Char"/>
    <w:link w:val="699"/>
    <w:uiPriority w:val="9"/>
    <w:rPr>
      <w:rFonts w:ascii="Arial" w:hAnsi="Arial" w:eastAsia="Arial" w:cs="Arial"/>
      <w:i/>
      <w:iCs/>
      <w:sz w:val="22"/>
      <w:szCs w:val="22"/>
    </w:rPr>
  </w:style>
  <w:style w:type="paragraph" w:styleId="701">
    <w:name w:val="Heading 9"/>
    <w:basedOn w:val="863"/>
    <w:next w:val="863"/>
    <w:link w:val="7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>
    <w:name w:val="Heading 9 Char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List Paragraph"/>
    <w:basedOn w:val="863"/>
    <w:uiPriority w:val="34"/>
    <w:qFormat/>
    <w:pPr>
      <w:contextualSpacing/>
      <w:ind w:left="720"/>
    </w:pPr>
  </w:style>
  <w:style w:type="paragraph" w:styleId="704">
    <w:name w:val="No Spacing"/>
    <w:uiPriority w:val="1"/>
    <w:qFormat/>
    <w:pPr>
      <w:spacing w:before="0" w:after="0" w:line="240" w:lineRule="auto"/>
    </w:pPr>
  </w:style>
  <w:style w:type="paragraph" w:styleId="705">
    <w:name w:val="Title"/>
    <w:basedOn w:val="863"/>
    <w:next w:val="863"/>
    <w:link w:val="70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6">
    <w:name w:val="Title Char"/>
    <w:link w:val="705"/>
    <w:uiPriority w:val="10"/>
    <w:rPr>
      <w:sz w:val="48"/>
      <w:szCs w:val="48"/>
    </w:rPr>
  </w:style>
  <w:style w:type="paragraph" w:styleId="707">
    <w:name w:val="Subtitle"/>
    <w:basedOn w:val="863"/>
    <w:next w:val="863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link w:val="707"/>
    <w:uiPriority w:val="11"/>
    <w:rPr>
      <w:sz w:val="24"/>
      <w:szCs w:val="24"/>
    </w:rPr>
  </w:style>
  <w:style w:type="paragraph" w:styleId="709">
    <w:name w:val="Quote"/>
    <w:basedOn w:val="863"/>
    <w:next w:val="863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3"/>
    <w:next w:val="863"/>
    <w:link w:val="712"/>
    <w:uiPriority w:val="30"/>
    <w:qFormat/>
    <w:pPr>
      <w:contextualSpacing w:val="0"/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3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link w:val="713"/>
    <w:uiPriority w:val="99"/>
  </w:style>
  <w:style w:type="paragraph" w:styleId="715">
    <w:name w:val="Footer"/>
    <w:basedOn w:val="863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link w:val="715"/>
    <w:uiPriority w:val="99"/>
  </w:style>
  <w:style w:type="paragraph" w:styleId="717">
    <w:name w:val="Caption"/>
    <w:basedOn w:val="863"/>
    <w:next w:val="86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717"/>
    <w:link w:val="715"/>
    <w:uiPriority w:val="99"/>
  </w:style>
  <w:style w:type="table" w:styleId="719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text1" w:themeFillTint="40"/>
    </w:tblPr>
    <w:tblStylePr w:type="band1Horz">
      <w:tcPr>
        <w:shd w:val="clear" w:color="ffffff" w:fill="ffffff" w:themeFill="text1" w:themeFillTint="75"/>
      </w:tcPr>
    </w:tblStylePr>
    <w:tblStylePr w:type="band1Vert">
      <w:tcPr>
        <w:shd w:val="clear" w:color="ffffff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1" w:themeFillTint="34"/>
    </w:tblPr>
    <w:tblStylePr w:type="band1Horz">
      <w:tcPr>
        <w:shd w:val="clear" w:color="ffffff" w:fill="ffffff" w:themeFill="accent1" w:themeFillTint="75"/>
      </w:tcPr>
    </w:tblStylePr>
    <w:tblStylePr w:type="band1Vert">
      <w:tcPr>
        <w:shd w:val="clear" w:color="ffffff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2" w:themeFillTint="32"/>
    </w:tblPr>
    <w:tblStylePr w:type="band1Horz">
      <w:tcPr>
        <w:shd w:val="clear" w:color="ffffff" w:fill="ffffff" w:themeFill="accent2" w:themeFillTint="75"/>
      </w:tcPr>
    </w:tblStylePr>
    <w:tblStylePr w:type="band1Vert">
      <w:tcPr>
        <w:shd w:val="clear" w:color="ffffff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3" w:themeFillTint="34"/>
    </w:tblPr>
    <w:tblStylePr w:type="band1Horz">
      <w:tcPr>
        <w:shd w:val="clear" w:color="ffffff" w:fill="ffffff" w:themeFill="accent3" w:themeFillTint="75"/>
      </w:tcPr>
    </w:tblStylePr>
    <w:tblStylePr w:type="band1Vert">
      <w:tcPr>
        <w:shd w:val="clear" w:color="ffffff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4" w:themeFillTint="34"/>
    </w:tblPr>
    <w:tblStylePr w:type="band1Horz">
      <w:tcPr>
        <w:shd w:val="clear" w:color="ffffff" w:fill="ffffff" w:themeFill="accent4" w:themeFillTint="75"/>
      </w:tcPr>
    </w:tblStylePr>
    <w:tblStylePr w:type="band1Vert">
      <w:tcPr>
        <w:shd w:val="clear" w:color="ffffff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5" w:themeFillTint="34"/>
    </w:tblPr>
    <w:tblStylePr w:type="band1Horz">
      <w:tcPr>
        <w:shd w:val="clear" w:color="ffffff" w:fill="ffffff" w:themeFill="accent5" w:themeFillTint="75"/>
      </w:tcPr>
    </w:tblStylePr>
    <w:tblStylePr w:type="band1Vert">
      <w:tcPr>
        <w:shd w:val="clear" w:color="ffffff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fill="ffffff" w:themeFill="accent6" w:themeFillTint="34"/>
    </w:tblPr>
    <w:tblStylePr w:type="band1Horz">
      <w:tcPr>
        <w:shd w:val="clear" w:color="ffffff" w:fill="ffffff" w:themeFill="accent6" w:themeFillTint="75"/>
      </w:tcPr>
    </w:tblStylePr>
    <w:tblStylePr w:type="band1Vert">
      <w:tcPr>
        <w:shd w:val="clear" w:color="ffffff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fill="ffffff" w:themeFill="text1" w:themeFillTint="34"/>
      </w:tcPr>
    </w:tblStylePr>
    <w:tblStylePr w:type="band1Vert">
      <w:tcPr>
        <w:shd w:val="clear" w:color="ffffff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0D"/>
      </w:tcPr>
    </w:tblStylePr>
    <w:tblStylePr w:type="band1Vert">
      <w:tcPr>
        <w:shd w:val="clear" w:color="ffffff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fill="ffffff" w:themeFill="accent1" w:themeFillTint="34"/>
      </w:tcPr>
    </w:tblStylePr>
    <w:tblStylePr w:type="band1Vert">
      <w:tcPr>
        <w:shd w:val="clear" w:color="ffffff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fill="ffffff" w:themeFill="accent2" w:themeFillTint="32"/>
      </w:tcPr>
    </w:tblStylePr>
    <w:tblStylePr w:type="band1Vert">
      <w:tcPr>
        <w:shd w:val="clear" w:color="ffffff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fill="ffffff" w:themeFill="accent3" w:themeFillTint="34"/>
      </w:tcPr>
    </w:tblStylePr>
    <w:tblStylePr w:type="band1Vert">
      <w:tcPr>
        <w:shd w:val="clear" w:color="ffffff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fill="ffffff" w:themeFill="accent4" w:themeFillTint="34"/>
      </w:tcPr>
    </w:tblStylePr>
    <w:tblStylePr w:type="band1Vert">
      <w:tcPr>
        <w:shd w:val="clear" w:color="ffffff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fill="ffffff" w:themeFill="accent5" w:themeFillTint="34"/>
      </w:tcPr>
    </w:tblStylePr>
    <w:tblStylePr w:type="band1Vert">
      <w:tcPr>
        <w:shd w:val="clear" w:color="ffffff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fill="ffffff" w:themeFill="accent6" w:themeFillTint="34"/>
      </w:tcPr>
    </w:tblStylePr>
    <w:tblStylePr w:type="band1Vert">
      <w:tcPr>
        <w:shd w:val="clear" w:color="ffffff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fill="ffffff" w:themeFill="text1" w:themeFillTint="80"/>
    </w:tblPr>
    <w:tblStylePr w:type="band1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fill="ffffff" w:themeFill="accent1"/>
    </w:tblPr>
    <w:tblStylePr w:type="band1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fill="ffffff" w:themeFill="accent2" w:themeFillTint="97"/>
    </w:tblPr>
    <w:tblStylePr w:type="band1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fill="ffffff" w:themeFill="accent3" w:themeFillTint="98"/>
    </w:tblPr>
    <w:tblStylePr w:type="band1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fill="ffffff" w:themeFill="accent4" w:themeFillTint="9A"/>
    </w:tblPr>
    <w:tblStylePr w:type="band1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fill="ffffff" w:themeFill="accent5" w:themeFillTint="9A"/>
    </w:tblPr>
    <w:tblStylePr w:type="band1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fill="ffffff" w:themeFill="accent6" w:themeFillTint="98"/>
    </w:tblPr>
    <w:tblStylePr w:type="band1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fff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fff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fill="ffffff" w:themeFill="text1" w:themeFillTint="40"/>
      </w:tcPr>
    </w:tblStylePr>
    <w:tblStylePr w:type="band1Vert">
      <w:tcPr>
        <w:shd w:val="clear" w:color="ffffff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ffffff" w:themeFill="accent1" w:themeFillTint="40"/>
      </w:tcPr>
    </w:tblStylePr>
    <w:tblStylePr w:type="band1Vert">
      <w:tcPr>
        <w:shd w:val="clear" w:color="ffffff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fill="ffffff" w:themeFill="accent2" w:themeFillTint="40"/>
      </w:tcPr>
    </w:tblStylePr>
    <w:tblStylePr w:type="band1Vert">
      <w:tcPr>
        <w:shd w:val="clear" w:color="ffffff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fill="ffffff" w:themeFill="accent3" w:themeFillTint="40"/>
      </w:tcPr>
    </w:tblStylePr>
    <w:tblStylePr w:type="band1Vert">
      <w:tcPr>
        <w:shd w:val="clear" w:color="ffffff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fill="ffffff" w:themeFill="accent4" w:themeFillTint="40"/>
      </w:tcPr>
    </w:tblStylePr>
    <w:tblStylePr w:type="band1Vert">
      <w:tcPr>
        <w:shd w:val="clear" w:color="ffffff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fill="ffffff" w:themeFill="accent5" w:themeFillTint="40"/>
      </w:tcPr>
    </w:tblStylePr>
    <w:tblStylePr w:type="band1Vert">
      <w:tcPr>
        <w:shd w:val="clear" w:color="ffffff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fill="ffffff" w:themeFill="accent6" w:themeFillTint="40"/>
      </w:tcPr>
    </w:tblStylePr>
    <w:tblStylePr w:type="band1Vert">
      <w:tcPr>
        <w:shd w:val="clear" w:color="ffffff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25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26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27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28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29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30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31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text1" w:themeFillTint="80"/>
      </w:tcPr>
    </w:tblStylePr>
  </w:style>
  <w:style w:type="table" w:styleId="832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1" w:themeFillTint="EA"/>
      </w:tcPr>
    </w:tblStylePr>
  </w:style>
  <w:style w:type="table" w:styleId="833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2" w:themeFillTint="97"/>
      </w:tcPr>
    </w:tblStylePr>
  </w:style>
  <w:style w:type="table" w:styleId="834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3" w:themeFillTint="FE"/>
      </w:tcPr>
    </w:tblStylePr>
  </w:style>
  <w:style w:type="table" w:styleId="835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4" w:themeFillTint="9A"/>
      </w:tcPr>
    </w:tblStylePr>
  </w:style>
  <w:style w:type="table" w:styleId="836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5"/>
      </w:tcPr>
    </w:tblStylePr>
  </w:style>
  <w:style w:type="table" w:styleId="837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 w:themeFill="accent6"/>
      </w:tcPr>
    </w:tblStylePr>
  </w:style>
  <w:style w:type="table" w:styleId="838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5">
    <w:name w:val="Hyperlink"/>
    <w:uiPriority w:val="99"/>
    <w:unhideWhenUsed/>
    <w:rPr>
      <w:color w:val="0000ff" w:themeColor="hyperlink"/>
      <w:u w:val="single"/>
    </w:rPr>
  </w:style>
  <w:style w:type="paragraph" w:styleId="846">
    <w:name w:val="footnote text"/>
    <w:basedOn w:val="863"/>
    <w:link w:val="847"/>
    <w:uiPriority w:val="99"/>
    <w:semiHidden/>
    <w:unhideWhenUsed/>
    <w:pPr>
      <w:spacing w:after="40" w:line="240" w:lineRule="auto"/>
    </w:pPr>
    <w:rPr>
      <w:sz w:val="18"/>
    </w:rPr>
  </w:style>
  <w:style w:type="character" w:styleId="847">
    <w:name w:val="Footnote Text Char"/>
    <w:link w:val="846"/>
    <w:uiPriority w:val="99"/>
    <w:rPr>
      <w:sz w:val="18"/>
    </w:rPr>
  </w:style>
  <w:style w:type="character" w:styleId="848">
    <w:name w:val="footnote reference"/>
    <w:uiPriority w:val="99"/>
    <w:unhideWhenUsed/>
    <w:rPr>
      <w:vertAlign w:val="superscript"/>
    </w:rPr>
  </w:style>
  <w:style w:type="paragraph" w:styleId="849">
    <w:name w:val="endnote text"/>
    <w:basedOn w:val="863"/>
    <w:link w:val="850"/>
    <w:uiPriority w:val="99"/>
    <w:semiHidden/>
    <w:unhideWhenUsed/>
    <w:pPr>
      <w:spacing w:after="0" w:line="240" w:lineRule="auto"/>
    </w:pPr>
    <w:rPr>
      <w:sz w:val="20"/>
    </w:rPr>
  </w:style>
  <w:style w:type="character" w:styleId="850">
    <w:name w:val="Endnote Text Char"/>
    <w:link w:val="849"/>
    <w:uiPriority w:val="99"/>
    <w:rPr>
      <w:sz w:val="20"/>
    </w:rPr>
  </w:style>
  <w:style w:type="character" w:styleId="851">
    <w:name w:val="endnote reference"/>
    <w:uiPriority w:val="99"/>
    <w:semiHidden/>
    <w:unhideWhenUsed/>
    <w:rPr>
      <w:vertAlign w:val="superscript"/>
    </w:rPr>
  </w:style>
  <w:style w:type="paragraph" w:styleId="852">
    <w:name w:val="toc 1"/>
    <w:basedOn w:val="863"/>
    <w:next w:val="863"/>
    <w:uiPriority w:val="39"/>
    <w:unhideWhenUsed/>
    <w:pPr>
      <w:ind w:left="0" w:right="0" w:firstLine="0"/>
      <w:spacing w:after="57"/>
    </w:pPr>
  </w:style>
  <w:style w:type="paragraph" w:styleId="853">
    <w:name w:val="toc 2"/>
    <w:basedOn w:val="863"/>
    <w:next w:val="863"/>
    <w:uiPriority w:val="39"/>
    <w:unhideWhenUsed/>
    <w:pPr>
      <w:ind w:left="283" w:right="0" w:firstLine="0"/>
      <w:spacing w:after="57"/>
    </w:pPr>
  </w:style>
  <w:style w:type="paragraph" w:styleId="854">
    <w:name w:val="toc 3"/>
    <w:basedOn w:val="863"/>
    <w:next w:val="863"/>
    <w:uiPriority w:val="39"/>
    <w:unhideWhenUsed/>
    <w:pPr>
      <w:ind w:left="567" w:right="0" w:firstLine="0"/>
      <w:spacing w:after="57"/>
    </w:pPr>
  </w:style>
  <w:style w:type="paragraph" w:styleId="855">
    <w:name w:val="toc 4"/>
    <w:basedOn w:val="863"/>
    <w:next w:val="863"/>
    <w:uiPriority w:val="39"/>
    <w:unhideWhenUsed/>
    <w:pPr>
      <w:ind w:left="850" w:right="0" w:firstLine="0"/>
      <w:spacing w:after="57"/>
    </w:pPr>
  </w:style>
  <w:style w:type="paragraph" w:styleId="856">
    <w:name w:val="toc 5"/>
    <w:basedOn w:val="863"/>
    <w:next w:val="863"/>
    <w:uiPriority w:val="39"/>
    <w:unhideWhenUsed/>
    <w:pPr>
      <w:ind w:left="1134" w:right="0" w:firstLine="0"/>
      <w:spacing w:after="57"/>
    </w:pPr>
  </w:style>
  <w:style w:type="paragraph" w:styleId="857">
    <w:name w:val="toc 6"/>
    <w:basedOn w:val="863"/>
    <w:next w:val="863"/>
    <w:uiPriority w:val="39"/>
    <w:unhideWhenUsed/>
    <w:pPr>
      <w:ind w:left="1417" w:right="0" w:firstLine="0"/>
      <w:spacing w:after="57"/>
    </w:pPr>
  </w:style>
  <w:style w:type="paragraph" w:styleId="858">
    <w:name w:val="toc 7"/>
    <w:basedOn w:val="863"/>
    <w:next w:val="863"/>
    <w:uiPriority w:val="39"/>
    <w:unhideWhenUsed/>
    <w:pPr>
      <w:ind w:left="1701" w:right="0" w:firstLine="0"/>
      <w:spacing w:after="57"/>
    </w:pPr>
  </w:style>
  <w:style w:type="paragraph" w:styleId="859">
    <w:name w:val="toc 8"/>
    <w:basedOn w:val="863"/>
    <w:next w:val="863"/>
    <w:uiPriority w:val="39"/>
    <w:unhideWhenUsed/>
    <w:pPr>
      <w:ind w:left="1984" w:right="0" w:firstLine="0"/>
      <w:spacing w:after="57"/>
    </w:pPr>
  </w:style>
  <w:style w:type="paragraph" w:styleId="860">
    <w:name w:val="toc 9"/>
    <w:basedOn w:val="863"/>
    <w:next w:val="863"/>
    <w:uiPriority w:val="39"/>
    <w:unhideWhenUsed/>
    <w:pPr>
      <w:ind w:left="2268" w:right="0" w:firstLine="0"/>
      <w:spacing w:after="57"/>
    </w:pPr>
  </w:style>
  <w:style w:type="paragraph" w:styleId="861">
    <w:name w:val="TOC Heading"/>
    <w:uiPriority w:val="39"/>
    <w:unhideWhenUsed/>
  </w:style>
  <w:style w:type="table" w:styleId="86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863" w:default="1">
    <w:name w:val="Normal"/>
    <w:next w:val="863"/>
    <w:link w:val="863"/>
    <w:pPr>
      <w:widowControl/>
    </w:pPr>
    <w:rPr>
      <w:rFonts w:ascii="Times New Roman" w:hAnsi="Times New Roman" w:eastAsia="Times New Roman"/>
      <w:color w:val="auto"/>
      <w:sz w:val="20"/>
      <w:szCs w:val="20"/>
      <w:lang w:val="ru-RU" w:eastAsia="zh-CN" w:bidi="ar-SA"/>
    </w:rPr>
  </w:style>
  <w:style w:type="paragraph" w:styleId="864">
    <w:name w:val="Заголовок 1"/>
    <w:basedOn w:val="863"/>
    <w:next w:val="863"/>
    <w:pPr>
      <w:numPr>
        <w:ilvl w:val="0"/>
        <w:numId w:val="1"/>
      </w:numPr>
      <w:keepNext/>
      <w:outlineLvl w:val="0"/>
    </w:pPr>
    <w:rPr>
      <w:sz w:val="28"/>
    </w:rPr>
  </w:style>
  <w:style w:type="paragraph" w:styleId="865">
    <w:name w:val="Заголовок 2"/>
    <w:basedOn w:val="863"/>
    <w:next w:val="863"/>
    <w:pPr>
      <w:numPr>
        <w:ilvl w:val="1"/>
        <w:numId w:val="1"/>
      </w:num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866">
    <w:name w:val="Заголовок 4"/>
    <w:basedOn w:val="863"/>
    <w:next w:val="863"/>
    <w:pPr>
      <w:numPr>
        <w:ilvl w:val="3"/>
        <w:numId w:val="1"/>
      </w:numPr>
      <w:jc w:val="center"/>
      <w:keepNext/>
      <w:outlineLvl w:val="3"/>
    </w:pPr>
    <w:rPr>
      <w:b/>
      <w:sz w:val="24"/>
    </w:rPr>
  </w:style>
  <w:style w:type="paragraph" w:styleId="867">
    <w:name w:val="Заголовок 7"/>
    <w:basedOn w:val="863"/>
    <w:next w:val="863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character" w:styleId="868">
    <w:name w:val="WW8Num1z0"/>
    <w:next w:val="868"/>
  </w:style>
  <w:style w:type="character" w:styleId="869">
    <w:name w:val="WW8Num1z1"/>
    <w:next w:val="869"/>
    <w:link w:val="863"/>
  </w:style>
  <w:style w:type="character" w:styleId="870">
    <w:name w:val="WW8Num1z2"/>
    <w:next w:val="870"/>
  </w:style>
  <w:style w:type="character" w:styleId="871">
    <w:name w:val="WW8Num1z3"/>
    <w:next w:val="871"/>
    <w:link w:val="863"/>
  </w:style>
  <w:style w:type="character" w:styleId="872">
    <w:name w:val="WW8Num1z4"/>
    <w:next w:val="872"/>
    <w:link w:val="863"/>
  </w:style>
  <w:style w:type="character" w:styleId="873">
    <w:name w:val="WW8Num1z5"/>
    <w:next w:val="873"/>
    <w:link w:val="863"/>
  </w:style>
  <w:style w:type="character" w:styleId="874">
    <w:name w:val="WW8Num1z6"/>
    <w:next w:val="874"/>
    <w:link w:val="863"/>
  </w:style>
  <w:style w:type="character" w:styleId="875">
    <w:name w:val="WW8Num1z7"/>
    <w:next w:val="875"/>
    <w:link w:val="863"/>
  </w:style>
  <w:style w:type="character" w:styleId="876">
    <w:name w:val="WW8Num1z8"/>
    <w:next w:val="876"/>
    <w:link w:val="863"/>
  </w:style>
  <w:style w:type="character" w:styleId="877">
    <w:name w:val="WW8Num2z0"/>
    <w:next w:val="877"/>
    <w:link w:val="863"/>
  </w:style>
  <w:style w:type="character" w:styleId="878">
    <w:name w:val="WW8Num3z0"/>
    <w:next w:val="878"/>
    <w:link w:val="863"/>
  </w:style>
  <w:style w:type="character" w:styleId="879">
    <w:name w:val="WW8Num4z0"/>
    <w:next w:val="879"/>
    <w:link w:val="863"/>
  </w:style>
  <w:style w:type="character" w:styleId="880">
    <w:name w:val="WW8Num5z0"/>
    <w:next w:val="880"/>
    <w:link w:val="863"/>
  </w:style>
  <w:style w:type="character" w:styleId="881">
    <w:name w:val="WW8Num5z1"/>
    <w:next w:val="881"/>
    <w:link w:val="863"/>
  </w:style>
  <w:style w:type="character" w:styleId="882">
    <w:name w:val="WW8Num5z2"/>
    <w:next w:val="882"/>
    <w:link w:val="863"/>
  </w:style>
  <w:style w:type="character" w:styleId="883">
    <w:name w:val="WW8Num5z3"/>
    <w:next w:val="883"/>
  </w:style>
  <w:style w:type="character" w:styleId="884">
    <w:name w:val="WW8Num5z4"/>
    <w:next w:val="884"/>
  </w:style>
  <w:style w:type="character" w:styleId="885">
    <w:name w:val="WW8Num5z5"/>
    <w:next w:val="885"/>
  </w:style>
  <w:style w:type="character" w:styleId="886">
    <w:name w:val="WW8Num5z6"/>
    <w:next w:val="886"/>
  </w:style>
  <w:style w:type="character" w:styleId="887">
    <w:name w:val="WW8Num5z7"/>
    <w:next w:val="887"/>
  </w:style>
  <w:style w:type="character" w:styleId="888">
    <w:name w:val="WW8Num5z8"/>
    <w:next w:val="888"/>
  </w:style>
  <w:style w:type="character" w:styleId="889">
    <w:name w:val="WW8Num6z0"/>
    <w:next w:val="889"/>
  </w:style>
  <w:style w:type="character" w:styleId="890">
    <w:name w:val="WW8Num7z0"/>
    <w:next w:val="890"/>
  </w:style>
  <w:style w:type="character" w:styleId="891">
    <w:name w:val="WW8Num8z0"/>
    <w:next w:val="891"/>
  </w:style>
  <w:style w:type="character" w:styleId="892">
    <w:name w:val="WW8Num9z0"/>
    <w:next w:val="892"/>
  </w:style>
  <w:style w:type="character" w:styleId="893">
    <w:name w:val="WW8Num10z0"/>
    <w:next w:val="893"/>
    <w:rPr>
      <w:rFonts w:ascii="Symbol" w:hAnsi="Symbol"/>
    </w:rPr>
  </w:style>
  <w:style w:type="character" w:styleId="894">
    <w:name w:val="WW8Num11z0"/>
    <w:next w:val="894"/>
  </w:style>
  <w:style w:type="character" w:styleId="895">
    <w:name w:val="WW8Num12z0"/>
    <w:next w:val="895"/>
  </w:style>
  <w:style w:type="character" w:styleId="896">
    <w:name w:val="WW8Num13z0"/>
    <w:next w:val="896"/>
  </w:style>
  <w:style w:type="character" w:styleId="897">
    <w:name w:val="WW8Num14z0"/>
    <w:next w:val="897"/>
  </w:style>
  <w:style w:type="character" w:styleId="898">
    <w:name w:val="WW8Num15z0"/>
    <w:next w:val="898"/>
  </w:style>
  <w:style w:type="character" w:styleId="899">
    <w:name w:val="WW8Num16z0"/>
    <w:next w:val="899"/>
  </w:style>
  <w:style w:type="character" w:styleId="900">
    <w:name w:val="WW8Num17z0"/>
    <w:next w:val="900"/>
  </w:style>
  <w:style w:type="character" w:styleId="901">
    <w:name w:val="WW8Num18z0"/>
    <w:next w:val="901"/>
  </w:style>
  <w:style w:type="character" w:styleId="902">
    <w:name w:val="WW8Num19z0"/>
    <w:next w:val="902"/>
  </w:style>
  <w:style w:type="character" w:styleId="903">
    <w:name w:val="WW8Num20z0"/>
    <w:next w:val="903"/>
  </w:style>
  <w:style w:type="character" w:styleId="904">
    <w:name w:val="WW8Num20z1"/>
    <w:next w:val="904"/>
  </w:style>
  <w:style w:type="character" w:styleId="905">
    <w:name w:val="WW8Num20z2"/>
    <w:next w:val="905"/>
  </w:style>
  <w:style w:type="character" w:styleId="906">
    <w:name w:val="WW8Num20z3"/>
    <w:next w:val="906"/>
  </w:style>
  <w:style w:type="character" w:styleId="907">
    <w:name w:val="WW8Num20z4"/>
    <w:next w:val="907"/>
  </w:style>
  <w:style w:type="character" w:styleId="908">
    <w:name w:val="WW8Num20z5"/>
    <w:next w:val="908"/>
  </w:style>
  <w:style w:type="character" w:styleId="909">
    <w:name w:val="WW8Num20z6"/>
    <w:next w:val="909"/>
  </w:style>
  <w:style w:type="character" w:styleId="910">
    <w:name w:val="WW8Num20z7"/>
    <w:next w:val="910"/>
  </w:style>
  <w:style w:type="character" w:styleId="911">
    <w:name w:val="WW8Num20z8"/>
    <w:next w:val="911"/>
  </w:style>
  <w:style w:type="character" w:styleId="912">
    <w:name w:val="WW8Num21z0"/>
    <w:next w:val="912"/>
  </w:style>
  <w:style w:type="character" w:styleId="913">
    <w:name w:val="Основной шрифт абзаца"/>
    <w:next w:val="913"/>
  </w:style>
  <w:style w:type="character" w:styleId="914">
    <w:name w:val="Текст выноски Знак"/>
    <w:next w:val="914"/>
    <w:link w:val="885"/>
    <w:rPr>
      <w:rFonts w:ascii="Tahoma" w:hAnsi="Tahoma"/>
      <w:sz w:val="16"/>
      <w:szCs w:val="16"/>
    </w:rPr>
  </w:style>
  <w:style w:type="character" w:styleId="915">
    <w:name w:val="Верхний колонтитул Знак"/>
    <w:basedOn w:val="913"/>
    <w:next w:val="915"/>
  </w:style>
  <w:style w:type="character" w:styleId="916">
    <w:name w:val="Нижний колонтитул Знак"/>
    <w:basedOn w:val="913"/>
    <w:next w:val="916"/>
  </w:style>
  <w:style w:type="paragraph" w:styleId="917">
    <w:name w:val="Заголовок"/>
    <w:basedOn w:val="863"/>
    <w:next w:val="918"/>
    <w:pPr>
      <w:keepNext/>
      <w:spacing w:before="240" w:after="120"/>
    </w:pPr>
    <w:rPr>
      <w:rFonts w:ascii="PT Sans" w:hAnsi="PT Sans" w:eastAsia="Tahoma"/>
      <w:sz w:val="28"/>
      <w:szCs w:val="28"/>
    </w:rPr>
  </w:style>
  <w:style w:type="paragraph" w:styleId="918">
    <w:name w:val="Основной текст"/>
    <w:basedOn w:val="863"/>
    <w:next w:val="918"/>
    <w:pPr>
      <w:jc w:val="center"/>
    </w:pPr>
    <w:rPr>
      <w:b/>
      <w:sz w:val="28"/>
    </w:rPr>
  </w:style>
  <w:style w:type="paragraph" w:styleId="919">
    <w:name w:val="Список"/>
    <w:basedOn w:val="918"/>
    <w:next w:val="919"/>
    <w:link w:val="863"/>
    <w:rPr>
      <w:rFonts w:ascii="PT Sans" w:hAnsi="PT Sans"/>
    </w:rPr>
  </w:style>
  <w:style w:type="paragraph" w:styleId="920">
    <w:name w:val="Название"/>
    <w:basedOn w:val="863"/>
    <w:next w:val="920"/>
    <w:link w:val="897"/>
    <w:pPr>
      <w:spacing w:before="120" w:after="120"/>
      <w:suppressLineNumbers/>
    </w:pPr>
    <w:rPr>
      <w:rFonts w:ascii="PT Sans" w:hAnsi="PT Sans"/>
      <w:i/>
      <w:iCs/>
      <w:sz w:val="24"/>
      <w:szCs w:val="24"/>
    </w:rPr>
  </w:style>
  <w:style w:type="paragraph" w:styleId="921">
    <w:name w:val="Указатель"/>
    <w:basedOn w:val="863"/>
    <w:next w:val="921"/>
    <w:link w:val="897"/>
    <w:pPr>
      <w:suppressLineNumbers/>
    </w:pPr>
    <w:rPr>
      <w:rFonts w:ascii="PT Sans" w:hAnsi="PT Sans"/>
    </w:rPr>
  </w:style>
  <w:style w:type="paragraph" w:styleId="922">
    <w:name w:val="Основной текст 2"/>
    <w:basedOn w:val="863"/>
    <w:next w:val="922"/>
    <w:link w:val="897"/>
    <w:pPr>
      <w:jc w:val="center"/>
    </w:pPr>
  </w:style>
  <w:style w:type="paragraph" w:styleId="923">
    <w:name w:val="Основной текст 3"/>
    <w:basedOn w:val="863"/>
    <w:next w:val="923"/>
    <w:link w:val="897"/>
    <w:pPr>
      <w:jc w:val="both"/>
    </w:pPr>
    <w:rPr>
      <w:sz w:val="28"/>
    </w:rPr>
  </w:style>
  <w:style w:type="paragraph" w:styleId="924">
    <w:name w:val="Основной текст с отступом"/>
    <w:basedOn w:val="863"/>
    <w:next w:val="924"/>
    <w:link w:val="897"/>
    <w:pPr>
      <w:ind w:left="0" w:right="0" w:firstLine="1134"/>
    </w:pPr>
    <w:rPr>
      <w:sz w:val="28"/>
    </w:rPr>
  </w:style>
  <w:style w:type="paragraph" w:styleId="925">
    <w:name w:val="Основной текст с отступом 2"/>
    <w:basedOn w:val="863"/>
    <w:next w:val="925"/>
    <w:link w:val="885"/>
    <w:pPr>
      <w:ind w:left="0" w:right="0" w:firstLine="567"/>
    </w:pPr>
    <w:rPr>
      <w:sz w:val="28"/>
    </w:rPr>
  </w:style>
  <w:style w:type="paragraph" w:styleId="926">
    <w:name w:val="Основной текст с отступом 3"/>
    <w:basedOn w:val="863"/>
    <w:next w:val="926"/>
    <w:link w:val="885"/>
    <w:pPr>
      <w:ind w:left="0" w:right="0" w:firstLine="567"/>
      <w:jc w:val="both"/>
    </w:pPr>
    <w:rPr>
      <w:sz w:val="28"/>
    </w:rPr>
  </w:style>
  <w:style w:type="paragraph" w:styleId="927">
    <w:name w:val="Текст выноски"/>
    <w:basedOn w:val="863"/>
    <w:next w:val="927"/>
    <w:rPr>
      <w:rFonts w:ascii="Tahoma" w:hAnsi="Tahoma"/>
      <w:sz w:val="16"/>
      <w:szCs w:val="16"/>
    </w:rPr>
  </w:style>
  <w:style w:type="paragraph" w:styleId="928">
    <w:name w:val="Верхний колонтитул"/>
    <w:basedOn w:val="863"/>
    <w:next w:val="928"/>
    <w:pPr>
      <w:tabs>
        <w:tab w:val="center" w:pos="4677" w:leader="none"/>
        <w:tab w:val="right" w:pos="9355" w:leader="none"/>
      </w:tabs>
    </w:pPr>
  </w:style>
  <w:style w:type="paragraph" w:styleId="929">
    <w:name w:val="Нижний колонтитул"/>
    <w:basedOn w:val="863"/>
    <w:next w:val="929"/>
    <w:pPr>
      <w:tabs>
        <w:tab w:val="center" w:pos="4677" w:leader="none"/>
        <w:tab w:val="right" w:pos="9355" w:leader="none"/>
      </w:tabs>
    </w:pPr>
  </w:style>
  <w:style w:type="paragraph" w:styleId="930">
    <w:name w:val="Содержимое таблицы"/>
    <w:basedOn w:val="863"/>
    <w:next w:val="930"/>
    <w:pPr>
      <w:suppressLineNumbers/>
    </w:pPr>
  </w:style>
  <w:style w:type="paragraph" w:styleId="931">
    <w:name w:val="Заголовок таблицы"/>
    <w:basedOn w:val="930"/>
    <w:next w:val="931"/>
    <w:pPr>
      <w:jc w:val="center"/>
      <w:suppressLineNumbers/>
    </w:pPr>
    <w:rPr>
      <w:b/>
      <w:bCs/>
    </w:rPr>
  </w:style>
  <w:style w:type="character" w:styleId="932" w:default="1">
    <w:name w:val="Default Paragraph Font"/>
    <w:uiPriority w:val="1"/>
    <w:semiHidden/>
    <w:unhideWhenUsed/>
  </w:style>
  <w:style w:type="numbering" w:styleId="93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2023-02-09T09:57:11Z</dcterms:modified>
</cp:coreProperties>
</file>