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6"/>
        <w:ind w:left="0" w:right="0" w:firstLine="709"/>
        <w:jc w:val="both"/>
        <w:spacing w:before="0" w:after="0" w:line="240" w:lineRule="auto"/>
        <w:shd w:val="clear" w:color="ffffff" w:fill="ffffff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В соответствии с п.п. 10, 11 Постановления Правительства Российской Федерации от 25.06.2021г. №990 «Об утверждении правил разработки и утверждения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контрольными (надзорными) органами Программы профилактики рисков причинения вреда (ущерба) охраняемым законом ценностям» на сайте Администрации муниципального района Алексеевский Самарской области разделе Контрольно-надзорная деятельность в целях обществен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ного обсуждения размещен проект Программы профилактики рисков причинения вреда (ущерба) охраняемым законом ценностям в сфере муниципального земельного контроля в границах сельских поселений муниципального района Алексеевский Самарской области  на 2024 год.</w:t>
      </w:r>
      <w:r/>
    </w:p>
    <w:p>
      <w:pPr>
        <w:numPr>
          <w:ilvl w:val="0"/>
          <w:numId w:val="0"/>
        </w:numPr>
        <w:ind w:left="0" w:right="0" w:firstLine="709"/>
        <w:jc w:val="both"/>
        <w:spacing w:before="0" w:after="0" w:line="240" w:lineRule="auto"/>
        <w:shd w:val="clear" w:color="ffffff" w:fill="ffffff"/>
        <w:tabs>
          <w:tab w:val="left" w:pos="200" w:leader="none"/>
          <w:tab w:val="clear" w:pos="708" w:leader="none"/>
        </w:tabs>
        <w:outlineLvl w:val="0"/>
      </w:pPr>
      <w:r>
        <w:rPr>
          <w:rFonts w:eastAsia="Times New Roman" w:cs="Times New Roman"/>
          <w:color w:val="000000" w:themeColor="text1"/>
          <w:sz w:val="28"/>
          <w:highlight w:val="none"/>
        </w:rPr>
      </w:r>
      <w:r>
        <w:rPr>
          <w:rFonts w:eastAsia="Times New Roman" w:cs="Times New Roman"/>
          <w:color w:val="000000" w:themeColor="text1"/>
          <w:sz w:val="28"/>
          <w:highlight w:val="none"/>
        </w:rPr>
      </w:r>
    </w:p>
    <w:p>
      <w:pPr>
        <w:pStyle w:val="776"/>
        <w:numPr>
          <w:ilvl w:val="0"/>
          <w:numId w:val="0"/>
        </w:numPr>
        <w:ind w:left="0" w:right="0" w:firstLine="709"/>
        <w:jc w:val="both"/>
        <w:spacing w:before="0" w:after="0" w:line="240" w:lineRule="auto"/>
        <w:shd w:val="clear" w:color="ffffff" w:fill="ffffff"/>
        <w:tabs>
          <w:tab w:val="left" w:pos="200" w:leader="none"/>
          <w:tab w:val="clear" w:pos="708" w:leader="none"/>
        </w:tabs>
        <w:rPr>
          <w:rFonts w:eastAsia="Times New Roman" w:cs="Times New Roman"/>
          <w:color w:val="000000" w:themeColor="text1"/>
          <w:sz w:val="28"/>
          <w:szCs w:val="28"/>
          <w:highlight w:val="none"/>
        </w:rPr>
        <w:outlineLvl w:val="0"/>
      </w:pP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</w:rPr>
        <w:t xml:space="preserve">Общественное обсуждение программы профилактики проводится с 01.10.2023 по 01.11.2023 г. </w:t>
      </w:r>
      <w:r>
        <w:rPr>
          <w:rFonts w:eastAsia="Times New Roman" w:cs="Times New Roman"/>
          <w:color w:val="000000" w:themeColor="text1"/>
          <w:sz w:val="28"/>
        </w:rPr>
        <w:t xml:space="preserve">Срок окончания общественного обсуждения Программы — </w:t>
      </w:r>
      <w:r>
        <w:rPr>
          <w:rFonts w:eastAsia="Times New Roman" w:cs="Times New Roman"/>
          <w:color w:val="000000" w:themeColor="text1"/>
          <w:sz w:val="28"/>
        </w:rPr>
        <w:t xml:space="preserve">01.11.2023 17 час.30 мин</w:t>
      </w:r>
      <w:r>
        <w:rPr>
          <w:rFonts w:eastAsia="Times New Roman" w:cs="Times New Roman"/>
          <w:color w:val="000000" w:themeColor="text1"/>
          <w:sz w:val="28"/>
        </w:rPr>
        <w:t xml:space="preserve">. Предложения принимаются на адрес электронной почты </w:t>
      </w:r>
      <w:hyperlink r:id="rId9" w:tooltip="mailto:adm@alexadm63.ru" w:history="1">
        <w:r>
          <w:rPr>
            <w:rFonts w:eastAsia="Times New Roman" w:cs="Times New Roman"/>
            <w:color w:val="000000" w:themeColor="text1"/>
            <w:sz w:val="28"/>
          </w:rPr>
          <w:t xml:space="preserve">adm@alexadm63.ru</w:t>
        </w:r>
      </w:hyperlink>
      <w:r>
        <w:rPr>
          <w:rFonts w:eastAsia="Times New Roman" w:cs="Times New Roman"/>
          <w:color w:val="000000" w:themeColor="text1"/>
          <w:sz w:val="28"/>
        </w:rPr>
        <w:t xml:space="preserve">, </w:t>
      </w:r>
      <w:r>
        <w:rPr>
          <w:rFonts w:eastAsia="Times New Roman" w:cs="Times New Roman"/>
          <w:color w:val="000000" w:themeColor="text1"/>
          <w:sz w:val="28"/>
        </w:rPr>
        <w:t xml:space="preserve">а также на юридический адрес 446640 Самарская область, Алексеевский район, с. Алексеевка ул. Советская, 7, либо личное обращение по вышеуказанному адресу, каб. № 6</w:t>
      </w:r>
      <w:r/>
      <w:r>
        <w:rPr>
          <w:rFonts w:eastAsia="Times New Roman" w:cs="Times New Roman"/>
          <w:color w:val="000000" w:themeColor="text1"/>
          <w:sz w:val="28"/>
          <w:szCs w:val="28"/>
        </w:rPr>
        <w:t xml:space="preserve">.</w:t>
      </w:r>
      <w:r/>
    </w:p>
    <w:p>
      <w:pPr>
        <w:ind w:left="0" w:right="0" w:firstLine="709"/>
        <w:jc w:val="left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ind w:left="5184" w:firstLine="0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ind w:left="5184" w:firstLine="0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ind w:left="5184" w:firstLine="0"/>
        <w:jc w:val="righ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Утверждена</w:t>
      </w:r>
      <w:r>
        <w:rPr>
          <w:sz w:val="28"/>
          <w:szCs w:val="28"/>
        </w:rPr>
        <w:t xml:space="preserve"> </w:t>
      </w:r>
      <w:r/>
    </w:p>
    <w:p>
      <w:pPr>
        <w:pStyle w:val="776"/>
        <w:ind w:left="5184" w:firstLine="0"/>
        <w:jc w:val="right"/>
      </w:pPr>
      <w:r>
        <w:rPr>
          <w:sz w:val="28"/>
          <w:szCs w:val="28"/>
        </w:rPr>
        <w:t xml:space="preserve">постановлени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муниципального района Алексеевский  </w:t>
      </w:r>
      <w:r/>
    </w:p>
    <w:p>
      <w:pPr>
        <w:pStyle w:val="776"/>
      </w:pPr>
      <w:r>
        <w:rPr>
          <w:sz w:val="28"/>
          <w:szCs w:val="28"/>
        </w:rPr>
        <w:t xml:space="preserve">                                                                   №</w:t>
      </w:r>
      <w:r>
        <w:rPr>
          <w:sz w:val="28"/>
          <w:szCs w:val="28"/>
        </w:rPr>
        <w:t xml:space="preserve">______ от «____»__________2023 г. </w:t>
      </w:r>
      <w:r/>
    </w:p>
    <w:p>
      <w:pPr>
        <w:pStyle w:val="776"/>
        <w:ind w:left="0" w:right="0" w:firstLine="0"/>
        <w:jc w:val="center"/>
        <w:spacing w:before="0" w:after="0" w:line="240" w:lineRule="auto"/>
        <w:shd w:val="clear" w:color="ffffff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76"/>
        <w:ind w:left="0" w:right="0" w:firstLine="0"/>
        <w:jc w:val="center"/>
        <w:spacing w:before="0" w:after="0" w:line="240" w:lineRule="auto"/>
        <w:rPr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Программ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</w:t>
      </w:r>
      <w:r>
        <w:rPr>
          <w:b/>
          <w:bCs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в сфере муниципального земельного контроля в границах сельских поселений муниципального района Алексеевский Самарской области  на 2024 год.</w:t>
      </w:r>
      <w:r/>
    </w:p>
    <w:p>
      <w:pPr>
        <w:pStyle w:val="776"/>
        <w:ind w:left="0" w:right="0" w:firstLine="0"/>
        <w:spacing w:before="0" w:after="0" w:line="240" w:lineRule="auto"/>
        <w:shd w:val="clear" w:color="ffffff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76"/>
        <w:ind w:left="0" w:right="0" w:firstLine="737"/>
        <w:jc w:val="center"/>
        <w:spacing w:before="0" w:after="0" w:line="240" w:lineRule="auto"/>
        <w:shd w:val="clear" w:color="ffffff" w:fill="ffffff"/>
        <w:widowControl/>
        <w:rPr>
          <w:b/>
          <w:bCs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Раздел 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профилактики.</w:t>
      </w:r>
      <w:r/>
    </w:p>
    <w:p>
      <w:pPr>
        <w:pStyle w:val="776"/>
        <w:ind w:left="0" w:right="0" w:firstLine="0"/>
        <w:jc w:val="center"/>
        <w:spacing w:before="0" w:after="0" w:line="240" w:lineRule="auto"/>
        <w:shd w:val="clear" w:color="ffffff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 принятием 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Федерального закона от 11.06.2021 № 17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>
        <w:rPr>
          <w:color w:val="000000"/>
          <w:sz w:val="28"/>
          <w:szCs w:val="28"/>
        </w:rPr>
        <w:t xml:space="preserve">муниципального земельного контроля было отнесено соблюдение юридическими лицами, индивидуа</w:t>
      </w:r>
      <w:r>
        <w:rPr>
          <w:color w:val="000000"/>
          <w:sz w:val="28"/>
          <w:szCs w:val="28"/>
        </w:rPr>
        <w:t xml:space="preserve">льными предпринимателями, гражданами (далее – контролируемые лица) лишь тех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с учетом  вступления в силу  Положения о муниципальном земельном контроле в границах сельских поселений муниципального района Алексеевский Самарской области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земельный контроль осуществляется исключительно за соблюдением: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обязат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/>
          <w:sz w:val="28"/>
          <w:szCs w:val="28"/>
        </w:rPr>
        <w:t xml:space="preserve">Подобная корректировка предмета муниципального земельного контроля не позволяет в полной мере использовать материалы обобщения прежней практики </w:t>
      </w:r>
      <w:r>
        <w:rPr>
          <w:color w:val="000000" w:themeColor="text1"/>
          <w:sz w:val="28"/>
          <w:szCs w:val="28"/>
        </w:rPr>
        <w:t xml:space="preserve">муниципального земельного контроля.</w:t>
      </w:r>
      <w:r>
        <w:rPr>
          <w:rStyle w:val="813"/>
          <w:color w:val="000000" w:themeColor="text1"/>
          <w:sz w:val="28"/>
          <w:szCs w:val="28"/>
        </w:rPr>
        <w:t xml:space="preserve"> 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Описание текущего развития профилактической деятельности контрольного органа.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Профилактическая деятельность </w:t>
      </w:r>
      <w:r>
        <w:rPr>
          <w:color w:val="000000"/>
          <w:sz w:val="28"/>
          <w:szCs w:val="28"/>
        </w:rPr>
        <w:t xml:space="preserve">администрации муниципального района Алексеевский Самарской области (далее также –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</w:t>
      </w:r>
      <w:r>
        <w:rPr>
          <w:color w:val="000000"/>
          <w:sz w:val="28"/>
          <w:szCs w:val="28"/>
        </w:rPr>
        <w:t xml:space="preserve">дминистрация или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</w:t>
      </w:r>
      <w:r>
        <w:rPr>
          <w:color w:val="000000"/>
          <w:sz w:val="28"/>
          <w:szCs w:val="28"/>
        </w:rPr>
        <w:t xml:space="preserve">онтрольный орган) до утверждения настоящей программы профилактики включала в себя: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>
        <w:rPr>
          <w:color w:val="000000" w:themeColor="text1"/>
          <w:sz w:val="28"/>
          <w:szCs w:val="28"/>
        </w:rPr>
        <w:t xml:space="preserve">размещение </w:t>
      </w:r>
      <w:r>
        <w:rPr>
          <w:color w:val="000000"/>
          <w:sz w:val="28"/>
          <w:szCs w:val="28"/>
        </w:rPr>
        <w:t xml:space="preserve">на официальном сайте Администрации в информационно-телекоммуникационной сети «Интернет» (далее – официальный сайт администрации)</w:t>
      </w:r>
      <w:r>
        <w:rPr>
          <w:color w:val="000000" w:themeColor="text1"/>
          <w:sz w:val="28"/>
          <w:szCs w:val="28"/>
        </w:rPr>
        <w:t xml:space="preserve"> перечней нормативных правовых актов или </w:t>
      </w:r>
      <w:r>
        <w:rPr>
          <w:color w:val="000000" w:themeColor="text1"/>
          <w:sz w:val="28"/>
          <w:szCs w:val="28"/>
        </w:rPr>
        <w:t xml:space="preserve">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земельного контроля, а также текстов соответствующих нормативных правовых актов;</w:t>
      </w:r>
      <w:r/>
    </w:p>
    <w:p>
      <w:pPr>
        <w:pStyle w:val="77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информирование </w:t>
      </w:r>
      <w:r>
        <w:rPr>
          <w:color w:val="000000"/>
          <w:sz w:val="28"/>
          <w:szCs w:val="28"/>
        </w:rPr>
        <w:t xml:space="preserve">контролируемых лиц</w:t>
      </w:r>
      <w:r>
        <w:rPr>
          <w:color w:val="000000" w:themeColor="text1"/>
          <w:sz w:val="28"/>
          <w:szCs w:val="28"/>
        </w:rPr>
        <w:t xml:space="preserve"> по вопросам соблюдения обязательных требований, требований, установленных муниципальными правовыми актами, в том числе п</w:t>
      </w:r>
      <w:r>
        <w:rPr>
          <w:color w:val="000000" w:themeColor="text1"/>
          <w:sz w:val="28"/>
          <w:szCs w:val="28"/>
        </w:rPr>
        <w:t xml:space="preserve">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способами;</w:t>
      </w:r>
      <w:r/>
    </w:p>
    <w:p>
      <w:pPr>
        <w:pStyle w:val="77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подготовку и распространение комментариев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</w:t>
      </w:r>
      <w:r>
        <w:rPr>
          <w:color w:val="000000" w:themeColor="text1"/>
          <w:sz w:val="28"/>
          <w:szCs w:val="28"/>
        </w:rPr>
        <w:t xml:space="preserve">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актами;</w:t>
      </w:r>
      <w:r/>
    </w:p>
    <w:p>
      <w:pPr>
        <w:pStyle w:val="77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регулярное обобщение практики осуществления муниципального земельного контроля и размещение на официальном сайте Администрации соответствующих обобщений, в том числе с указан</w:t>
      </w:r>
      <w:r>
        <w:rPr>
          <w:color w:val="000000" w:themeColor="text1"/>
          <w:sz w:val="28"/>
          <w:szCs w:val="28"/>
        </w:rPr>
        <w:t xml:space="preserve">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контролируемыми лицами в целях недопущения таких нарушений; </w:t>
      </w:r>
      <w:r/>
    </w:p>
    <w:p>
      <w:pPr>
        <w:pStyle w:val="776"/>
        <w:ind w:left="0" w:right="0" w:firstLine="0"/>
        <w:jc w:val="both"/>
        <w:spacing w:before="0" w:after="0" w:line="240" w:lineRule="auto"/>
      </w:pPr>
      <w:r>
        <w:rPr>
          <w:color w:val="000000" w:themeColor="text1"/>
          <w:sz w:val="28"/>
          <w:szCs w:val="28"/>
        </w:rPr>
        <w:t xml:space="preserve">5) выдачу предостережений о недопустимости нарушения обязательных требований, требований, установленных муниципальными правовыми актами.</w:t>
      </w:r>
      <w:r>
        <w:rPr>
          <w:rStyle w:val="813"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1.3. К проблемам, на решение которых направлена программа профилактики, относятся случаи: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самовольного занятия земель, земельных участков, частей земельных участков;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неприведения земель в состояние, пригодное для использования по целевому назначению.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самовольного занятия земель, земельны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участков, частей земельных участков является стремление извлечь выгоду от использования земельных участков (земель, частей земельных участков) без оформления прав на них. Зачастую контролируемые лица, допускающие подобное нарушение обязательных требовани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й, не имеют представления о том, что самовольное занятие земель, земельных участков, частей земельных участков является основанием для предъявления требования о неосновательном обогащении в связи с фактическим использованием земли. В рамках профилактически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мероприятий соответствующая информация должна доводиться до контролируемых лиц. Кроме того, до контролируемых лиц должна доводиться информация о процедурах предоставления земельных участков, находящихся в государственной или муниципальной собственности. 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распространенными причинами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 являются: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нежелание контролируемого лица оплачивать земельный налог или арендную плату за использование земельного участка в повышенном размере;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незнание процедур изменения видов разрешенного использования земельного участка или получения разрешения на условно разрешенный вид использования земельного участка.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распространенными причинами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 являются: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отсутствие у собственника (правообладателя) земельного участка средств на целевое использование земельного участка;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стремление собственника земельного участка продать с наибольшей выгодой соответствующий земельный участок без его целевого использования.   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неприведения земел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 в состояние, пригодное для использования по целевому назначению, является стремление собственника (правообладателя) земельного участка сэкономить средства, необходимые для приведения земель в состояние, пригодное для использования по целевому назначению.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Мероприятия программы профилактики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  <w:r/>
    </w:p>
    <w:p>
      <w:pPr>
        <w:pStyle w:val="84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 реализации мероприятий программы профилактики повышенное внимание должно быть уделено контролируемым лицам, владеющим и (или) использующим земельные участки, отнесенные к категориям среднего и умеренного рисков. </w:t>
      </w:r>
      <w:r/>
    </w:p>
    <w:p>
      <w:pPr>
        <w:pStyle w:val="840"/>
        <w:ind w:left="0" w:right="0" w:firstLine="0"/>
        <w:jc w:val="center"/>
        <w:spacing w:before="0" w:after="0" w:line="240" w:lineRule="auto"/>
        <w:shd w:val="clear" w:color="ffffff" w:fill="ffffff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/>
    </w:p>
    <w:p>
      <w:pPr>
        <w:pStyle w:val="840"/>
        <w:ind w:left="0" w:right="0" w:firstLine="0"/>
        <w:jc w:val="center"/>
        <w:spacing w:before="0" w:after="0" w:line="240" w:lineRule="auto"/>
        <w:shd w:val="clear" w:color="ffffff" w:fill="ffffff"/>
        <w:rPr>
          <w:b/>
          <w:bCs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 Цели и задачи реализации программы профилактики</w:t>
      </w:r>
      <w:r/>
    </w:p>
    <w:p>
      <w:pPr>
        <w:pStyle w:val="840"/>
        <w:ind w:left="0" w:right="0" w:firstLine="0"/>
        <w:jc w:val="center"/>
        <w:spacing w:before="0" w:after="0" w:line="240" w:lineRule="auto"/>
        <w:shd w:val="clear" w:color="ffffff" w:fill="ffffff"/>
        <w:rPr>
          <w:color w:val="000000"/>
        </w:rPr>
      </w:pPr>
      <w:r>
        <w:rPr>
          <w:color w:val="000000" w:themeColor="text1"/>
        </w:rPr>
      </w:r>
      <w:r/>
    </w:p>
    <w:p>
      <w:pPr>
        <w:pStyle w:val="840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 Целями профилактики рисков причинения вреда (ущерба) охраняемым законом ценностям являются:</w:t>
      </w:r>
      <w:r/>
    </w:p>
    <w:p>
      <w:pPr>
        <w:pStyle w:val="840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</w:t>
      </w:r>
      <w:r/>
    </w:p>
    <w:p>
      <w:pPr>
        <w:pStyle w:val="840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/>
    </w:p>
    <w:p>
      <w:pPr>
        <w:pStyle w:val="840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создание условий для доведения обязательных требований до контролируемых лиц, повышение информированности о способах их соблюдения.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Для достижения целей профилактики рисков причинения вреда (ущерба) охраняемым законом ценностям выполняются следующие задачи: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анализ выявленных в результате проведения муниципального земельного контроля нарушений обязательных требований</w:t>
      </w:r>
      <w:r>
        <w:rPr>
          <w:sz w:val="28"/>
          <w:szCs w:val="28"/>
        </w:rPr>
        <w:t xml:space="preserve">;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sz w:val="28"/>
          <w:szCs w:val="28"/>
        </w:rPr>
        <w:t xml:space="preserve"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sz w:val="28"/>
          <w:szCs w:val="28"/>
        </w:rPr>
        <w:t xml:space="preserve">3) организация и проведение профилактических мероприятий с учетом состояния подконтрольной среды</w:t>
      </w:r>
      <w:r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земельного контроля нарушений обязательных требований</w:t>
      </w:r>
      <w:r>
        <w:rPr>
          <w:sz w:val="28"/>
          <w:szCs w:val="28"/>
        </w:rPr>
        <w:t xml:space="preserve">.</w:t>
      </w:r>
      <w:r/>
    </w:p>
    <w:p>
      <w:pPr>
        <w:pStyle w:val="840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  <w:rPr>
          <w:rFonts w:ascii="PT Serif" w:hAnsi="PT Serif"/>
          <w:color w:val="000000"/>
          <w:sz w:val="28"/>
          <w:szCs w:val="28"/>
        </w:rPr>
      </w:pPr>
      <w:r>
        <w:rPr>
          <w:rFonts w:ascii="PT Serif" w:hAnsi="PT Serif"/>
          <w:color w:val="000000"/>
          <w:sz w:val="28"/>
          <w:szCs w:val="28"/>
        </w:rPr>
      </w:r>
      <w:r/>
    </w:p>
    <w:p>
      <w:pPr>
        <w:pStyle w:val="840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  <w:rPr>
          <w:b/>
          <w:bCs/>
          <w:sz w:val="28"/>
          <w:szCs w:val="28"/>
        </w:rPr>
      </w:pPr>
      <w:r>
        <w:rPr>
          <w:b/>
          <w:bCs/>
          <w:color w:val="22272f"/>
          <w:sz w:val="28"/>
          <w:szCs w:val="28"/>
        </w:rPr>
        <w:t xml:space="preserve">3. Перечень профилактических мероприятий, </w:t>
      </w:r>
      <w:r/>
    </w:p>
    <w:p>
      <w:pPr>
        <w:pStyle w:val="840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  <w:rPr>
          <w:b/>
          <w:bCs/>
          <w:sz w:val="28"/>
          <w:szCs w:val="28"/>
        </w:rPr>
      </w:pPr>
      <w:r>
        <w:rPr>
          <w:b/>
          <w:bCs/>
          <w:color w:val="22272f"/>
          <w:sz w:val="28"/>
          <w:szCs w:val="28"/>
        </w:rPr>
        <w:t xml:space="preserve">сроки (периодичность) их проведения</w:t>
      </w:r>
      <w:r/>
    </w:p>
    <w:p>
      <w:pPr>
        <w:pStyle w:val="840"/>
        <w:ind w:left="0" w:right="0" w:firstLine="0"/>
        <w:spacing w:before="0" w:beforeAutospacing="0" w:after="0" w:afterAutospacing="0" w:line="240" w:lineRule="auto"/>
        <w:shd w:val="clear" w:color="ffffff" w:fill="ffffff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</w:r>
      <w:r/>
    </w:p>
    <w:p>
      <w:pPr>
        <w:pStyle w:val="840"/>
        <w:ind w:left="0" w:right="0" w:firstLine="0"/>
        <w:spacing w:before="0" w:beforeAutospacing="0" w:after="0" w:afterAutospacing="0" w:line="240" w:lineRule="auto"/>
        <w:shd w:val="clear" w:color="ffffff" w:fill="ffffff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</w:r>
      <w:r>
        <w:rPr>
          <w:color w:val="22272f"/>
          <w:sz w:val="28"/>
          <w:szCs w:val="28"/>
        </w:rPr>
      </w:r>
      <w:r/>
    </w:p>
    <w:p>
      <w:pPr>
        <w:pStyle w:val="840"/>
        <w:ind w:left="0" w:right="0" w:firstLine="0"/>
        <w:spacing w:before="0" w:beforeAutospacing="0" w:after="0" w:afterAutospacing="0" w:line="240" w:lineRule="auto"/>
        <w:shd w:val="clear" w:color="ffffff" w:fill="ffffff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3.1. Перечень профилактических мероприятий, сроки (периодичность) их проведения представлены в таблице.</w:t>
      </w:r>
      <w:r/>
    </w:p>
    <w:p>
      <w:pPr>
        <w:pStyle w:val="840"/>
        <w:ind w:left="0" w:right="0" w:firstLine="0"/>
        <w:spacing w:before="0" w:beforeAutospacing="0" w:after="0" w:afterAutospacing="0" w:line="240" w:lineRule="auto"/>
        <w:shd w:val="clear" w:color="ffffff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tbl>
      <w:tblPr>
        <w:tblW w:w="10185" w:type="dxa"/>
        <w:tblInd w:w="-575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88"/>
        <w:gridCol w:w="2645"/>
        <w:gridCol w:w="3124"/>
        <w:gridCol w:w="1843"/>
        <w:gridCol w:w="2085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vAlign w:val="center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№ </w:t>
            </w:r>
            <w:r>
              <w:rPr>
                <w:color w:val="000000" w:themeColor="text1"/>
                <w:sz w:val="20"/>
                <w:szCs w:val="20"/>
              </w:rPr>
              <w:t xml:space="preserve">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vAlign w:val="center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Вид мероприятия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vAlign w:val="center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Содержание мероприятия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Срок реализации мероприятия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vAlign w:val="center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Ответственный за реализацию мероприятия исполнитель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88" w:type="dxa"/>
            <w:vMerge w:val="restart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645" w:type="dxa"/>
            <w:vMerge w:val="restart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shd w:val="clear" w:color="ffffff" w:fill="ffff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Информирование контролируемых и иных лиц по вопросам соблюдения обязательных требований </w:t>
            </w:r>
            <w:r/>
          </w:p>
          <w:p>
            <w:pPr>
              <w:pStyle w:val="776"/>
              <w:ind w:left="0" w:right="0" w:firstLine="0"/>
              <w:spacing w:before="0" w:after="0" w:line="240" w:lineRule="auto"/>
              <w:shd w:val="clear" w:color="ffffff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1. Р</w:t>
            </w:r>
            <w:r>
              <w:rPr>
                <w:color w:val="000000"/>
                <w:sz w:val="20"/>
                <w:szCs w:val="20"/>
              </w:rPr>
              <w:t xml:space="preserve"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Ежегодно, </w:t>
            </w:r>
            <w:r/>
          </w:p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декабрь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i w:val="0"/>
                <w:iCs w:val="0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 w:val="0"/>
                <w:iCs w:val="0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  <w:tr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shd w:val="clear" w:color="ffffff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2. Р</w:t>
            </w:r>
            <w:r>
              <w:rPr>
                <w:color w:val="000000"/>
                <w:sz w:val="20"/>
                <w:szCs w:val="20"/>
              </w:rPr>
              <w:t xml:space="preserve">азмещение сведений по вопросам соблюдения обязательных требований в средствах массовой информации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Ежеквартально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i w:val="0"/>
                <w:iCs w:val="0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 w:val="0"/>
                <w:iCs w:val="0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  <w:tr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shd w:val="clear" w:color="ffffff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3. Р</w:t>
            </w:r>
            <w:r>
              <w:rPr>
                <w:color w:val="000000"/>
                <w:sz w:val="20"/>
                <w:szCs w:val="20"/>
              </w:rPr>
              <w:t xml:space="preserve">азмещение сведений по вопросам соблюдения обязательных требований</w:t>
            </w:r>
            <w:r>
              <w:rPr>
                <w:color w:val="000000"/>
                <w:sz w:val="20"/>
                <w:szCs w:val="20"/>
                <w:shd w:val="clear" w:color="ffffff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Ежегодно, </w:t>
            </w:r>
            <w:r/>
          </w:p>
          <w:p>
            <w:pPr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декабрь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i w:val="0"/>
                <w:iCs w:val="0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i w:val="0"/>
                <w:iCs w:val="0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88" w:type="dxa"/>
            <w:vMerge w:val="restart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645" w:type="dxa"/>
            <w:vMerge w:val="restart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Обобщение практики осуществления </w:t>
            </w:r>
            <w:r>
              <w:rPr>
                <w:color w:val="000000" w:themeColor="text1"/>
                <w:sz w:val="20"/>
                <w:szCs w:val="20"/>
              </w:rPr>
              <w:t xml:space="preserve">муниципального земельного контроля </w:t>
            </w:r>
            <w:r>
              <w:rPr>
                <w:color w:val="000000"/>
                <w:sz w:val="20"/>
                <w:szCs w:val="20"/>
              </w:rPr>
              <w:t xml:space="preserve">посредством сбора и анализа данных о проведенных контрольных мероприятиях (контрольных действиях) и их результатах, в том числе</w:t>
            </w:r>
            <w:r>
              <w:rPr>
                <w:color w:val="000000" w:themeColor="text1"/>
                <w:sz w:val="20"/>
                <w:szCs w:val="20"/>
              </w:rPr>
              <w:t xml:space="preserve"> анализа выявленных в результате проведения муниципального земельного контроля нарушений обязательных требований контролируемыми лицами</w:t>
            </w:r>
            <w:r/>
          </w:p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40"/>
              <w:ind w:left="0" w:right="0" w:firstLine="0"/>
              <w:spacing w:before="0" w:after="0" w:line="240" w:lineRule="auto"/>
              <w:shd w:val="clear" w:color="ffffff" w:fill="ffffff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Подготовка доклада о правоприменительной практике</w:t>
            </w:r>
            <w:r/>
          </w:p>
          <w:p>
            <w:pPr>
              <w:pStyle w:val="840"/>
              <w:ind w:left="0" w:right="0" w:firstLine="0"/>
              <w:spacing w:before="0" w:after="0" w:line="240" w:lineRule="auto"/>
              <w:shd w:val="clear" w:color="ffffff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До 1 июня 2024 года</w:t>
            </w:r>
            <w:r>
              <w:rPr>
                <w:rStyle w:val="813"/>
                <w:color w:val="000000" w:themeColor="text1"/>
                <w:sz w:val="20"/>
                <w:szCs w:val="20"/>
              </w:rPr>
              <w:t xml:space="preserve">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  <w:tr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40"/>
              <w:ind w:left="0" w:right="0" w:firstLine="0"/>
              <w:spacing w:before="0" w:after="0" w:line="240" w:lineRule="auto"/>
              <w:shd w:val="clear" w:color="ffffff" w:fill="ffffff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Размещение доклада о правоприменительной практике</w:t>
            </w:r>
            <w:r>
              <w:rPr>
                <w:color w:val="000000"/>
                <w:sz w:val="20"/>
                <w:szCs w:val="20"/>
              </w:rPr>
              <w:t xml:space="preserve"> на официальном сайте администрации в разделе «Контрольно-надзорная деятельность»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 1 июля 2024 года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sz w:val="20"/>
                <w:szCs w:val="20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или признаках нарушений обязательных требований </w:t>
            </w:r>
            <w:r>
              <w:rPr>
                <w:color w:val="000000" w:themeColor="text1"/>
                <w:sz w:val="20"/>
                <w:szCs w:val="20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Подготовка и объявление контролируемым лицам предостережений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или признаков нарушений обязательных требований,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не позднее 30 дней со дня получения администрацией указанных сведений</w:t>
            </w: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88" w:type="dxa"/>
            <w:vMerge w:val="restart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645" w:type="dxa"/>
            <w:vMerge w:val="restart"/>
            <w:textDirection w:val="lrTb"/>
            <w:noWrap w:val="false"/>
          </w:tcPr>
          <w:p>
            <w:pPr>
              <w:pStyle w:val="84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следующим вопросам муниципального земельного контроля:</w:t>
            </w:r>
            <w:r/>
          </w:p>
          <w:p>
            <w:pPr>
              <w:pStyle w:val="84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организация и осуществление муниципального земельного контроля;</w:t>
            </w:r>
            <w:r/>
          </w:p>
          <w:p>
            <w:pPr>
              <w:pStyle w:val="84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порядок осуществления контрольных мероприятий, установленных Положением о муниципальном земельном контроле в границах сельск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их поселений муниципального района Алексеевский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;</w:t>
            </w:r>
            <w:r/>
          </w:p>
          <w:p>
            <w:pPr>
              <w:pStyle w:val="84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порядок обжалования действий (бездействия) должностных лиц, уполномоченных осуществлять муниципальный земельный контроль;</w:t>
            </w:r>
            <w:r/>
          </w:p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40"/>
              <w:ind w:left="0" w:right="0" w:firstLine="0"/>
              <w:spacing w:before="0" w:beforeAutospacing="0" w:after="0" w:afterAutospacing="0" w:line="240" w:lineRule="auto"/>
              <w:shd w:val="clear" w:color="ffffff" w:fill="ffffff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1. Консультирование контролируемых лиц в устной форме по телефону, по видео-конференц-связи и на личном приеме</w:t>
            </w: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При обращении лица, нуждающегося в консультировании</w:t>
            </w: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  <w:tr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40"/>
              <w:ind w:left="0" w:right="0" w:firstLine="0"/>
              <w:spacing w:before="0" w:beforeAutospacing="0" w:after="0" w:afterAutospacing="0" w:line="240" w:lineRule="auto"/>
              <w:shd w:val="clear" w:color="ffffff" w:fill="ffffff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2. Консультирование контролируемых лиц в письменной форме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  <w:tr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40"/>
              <w:ind w:left="0" w:right="0" w:firstLine="0"/>
              <w:spacing w:before="0" w:after="0" w:line="240" w:lineRule="auto"/>
              <w:shd w:val="clear" w:color="ffffff" w:fill="ffffff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3. Консультирование контролируемых лиц путем </w:t>
            </w:r>
            <w:r>
              <w:rPr>
                <w:color w:val="000000"/>
                <w:sz w:val="20"/>
                <w:szCs w:val="20"/>
              </w:rPr>
              <w:t xml:space="preserve">размещения на официальном сайте администрации в разделе «Контроль</w:t>
            </w:r>
            <w:r>
              <w:rPr>
                <w:color w:val="000000"/>
                <w:sz w:val="20"/>
                <w:szCs w:val="20"/>
              </w:rPr>
              <w:t xml:space="preserve">но-надзорная деятельность» письменного разъяснения, подписанного должностным лицом, уполномоченным осуществлять муниципальный земельный контроль (в случае поступления в администрацию пяти и более однотипных обращений контролируемых лиц и их представителей)</w:t>
            </w:r>
            <w:r>
              <w:rPr>
                <w:rFonts w:ascii="PT Serif" w:hAnsi="PT Serif"/>
                <w:color w:val="22272f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sz w:val="20"/>
                <w:szCs w:val="20"/>
              </w:rPr>
              <w:t xml:space="preserve">пятого однотипного обращения контролируемых лиц и их представителей</w:t>
            </w: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  <w:tr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40"/>
              <w:ind w:left="0" w:right="0" w:firstLine="0"/>
              <w:spacing w:before="0" w:after="0" w:line="240" w:lineRule="auto"/>
              <w:shd w:val="clear" w:color="ffffff" w:fill="ffffff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4. Консультирование контролируемых лиц</w:t>
            </w:r>
            <w:r>
              <w:rPr>
                <w:color w:val="000000"/>
                <w:sz w:val="20"/>
                <w:szCs w:val="20"/>
              </w:rPr>
              <w:t xml:space="preserve"> в устной форме на собраниях и конференциях граждан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sz w:val="20"/>
                <w:szCs w:val="20"/>
              </w:rPr>
              <w:t xml:space="preserve"> по вопросам муниципального земельного контроля в день проведения собрания (конференции) граждан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76"/>
              <w:ind w:left="0" w:right="0" w:firstLine="0"/>
              <w:spacing w:before="0"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</w:p>
        </w:tc>
      </w:tr>
    </w:tbl>
    <w:p>
      <w:pPr>
        <w:pStyle w:val="840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  <w:rPr>
          <w:b/>
          <w:color w:val="22272f"/>
          <w:sz w:val="28"/>
          <w:szCs w:val="28"/>
        </w:rPr>
      </w:pPr>
      <w:r>
        <w:rPr>
          <w:b/>
          <w:bCs/>
          <w:color w:val="22272f"/>
          <w:sz w:val="28"/>
          <w:szCs w:val="28"/>
        </w:rPr>
      </w:r>
      <w:r/>
    </w:p>
    <w:p>
      <w:pPr>
        <w:pStyle w:val="840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</w:pPr>
      <w:r>
        <w:rPr>
          <w:b/>
          <w:bCs/>
          <w:color w:val="22272f"/>
          <w:sz w:val="28"/>
          <w:szCs w:val="28"/>
        </w:rPr>
        <w:t xml:space="preserve">4. Показатели результативности и эффективности программы профилактики</w:t>
      </w:r>
      <w:r/>
    </w:p>
    <w:p>
      <w:pPr>
        <w:pStyle w:val="776"/>
        <w:ind w:left="0" w:right="0" w:firstLine="0"/>
        <w:jc w:val="both"/>
        <w:spacing w:before="0" w:after="0" w:line="240" w:lineRule="auto"/>
        <w:rPr>
          <w:b/>
          <w:bCs/>
          <w:color w:val="22272f"/>
          <w:sz w:val="28"/>
          <w:szCs w:val="28"/>
        </w:rPr>
      </w:pPr>
      <w:r>
        <w:rPr>
          <w:b/>
          <w:bCs/>
          <w:color w:val="22272f"/>
          <w:sz w:val="28"/>
          <w:szCs w:val="28"/>
        </w:rPr>
      </w:r>
      <w:r/>
    </w:p>
    <w:p>
      <w:pPr>
        <w:pStyle w:val="776"/>
        <w:ind w:left="0" w:right="0" w:firstLine="0"/>
        <w:jc w:val="both"/>
        <w:spacing w:before="0" w:after="0" w:line="240" w:lineRule="auto"/>
        <w:rPr>
          <w:sz w:val="28"/>
          <w:szCs w:val="28"/>
        </w:rPr>
      </w:pPr>
      <w:r>
        <w:rPr>
          <w:color w:val="22272f"/>
          <w:sz w:val="28"/>
          <w:szCs w:val="28"/>
        </w:rPr>
        <w:t xml:space="preserve">Показатели результативности программы профилактики определяются в соответствии со следующей таблицей.</w:t>
      </w:r>
      <w:r/>
    </w:p>
    <w:p>
      <w:pPr>
        <w:pStyle w:val="776"/>
        <w:ind w:left="0" w:right="0" w:firstLine="0"/>
        <w:jc w:val="both"/>
        <w:spacing w:before="0"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</w:r>
      <w:r/>
    </w:p>
    <w:tbl>
      <w:tblPr>
        <w:tblW w:w="9418" w:type="dxa"/>
        <w:tblInd w:w="0" w:type="dxa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29"/>
        <w:gridCol w:w="6235"/>
        <w:gridCol w:w="2554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показателя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измерения, свидетельствующая о максимальной результативности программы профилактики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bot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100 %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bot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Количество р</w:t>
            </w:r>
            <w:r>
              <w:rPr>
                <w:color w:val="000000"/>
                <w:sz w:val="20"/>
                <w:szCs w:val="20"/>
              </w:rPr>
              <w:t xml:space="preserve">азмещений сведений по вопросам соблюдения обязательных требований в средствах массовой информации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и более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bot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sz w:val="20"/>
                <w:szCs w:val="20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или признаков нарушений обязательных требований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100 %</w:t>
            </w:r>
            <w:r/>
          </w:p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(если имелись случаи </w:t>
            </w:r>
            <w:r>
              <w:rPr>
                <w:color w:val="000000" w:themeColor="text1"/>
                <w:sz w:val="20"/>
                <w:szCs w:val="20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или признаков нарушений обязательных требований</w:t>
            </w:r>
            <w:r>
              <w:rPr>
                <w:sz w:val="20"/>
                <w:szCs w:val="20"/>
              </w:rPr>
              <w:t xml:space="preserve">)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bot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Доля случаев нарушения сроков консультирования контролируемых лиц в письменной форме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0%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bot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Доля случаев повторного обращения контролируемых лиц в письменной форме по тому же вопросу муниципального земельного контроля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0%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bot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</w:t>
            </w:r>
            <w:r>
              <w:rPr>
                <w:color w:val="000000"/>
                <w:sz w:val="20"/>
                <w:szCs w:val="20"/>
              </w:rPr>
              <w:t xml:space="preserve">собраний и конференций граждан, на которых</w:t>
            </w:r>
            <w:r>
              <w:rPr>
                <w:color w:val="000000" w:themeColor="text1"/>
                <w:sz w:val="20"/>
                <w:szCs w:val="20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sz w:val="20"/>
                <w:szCs w:val="20"/>
              </w:rPr>
              <w:t xml:space="preserve"> по вопросам муниципального земельного контроля в устной форме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76"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2</w:t>
            </w:r>
            <w:r/>
          </w:p>
        </w:tc>
      </w:tr>
    </w:tbl>
    <w:p>
      <w:pPr>
        <w:pStyle w:val="840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  <w:rPr>
          <w:b/>
          <w:bCs/>
          <w:color w:val="22272f"/>
          <w:sz w:val="20"/>
          <w:szCs w:val="20"/>
        </w:rPr>
      </w:pPr>
      <w:r>
        <w:rPr>
          <w:b/>
          <w:bCs/>
          <w:color w:val="22272f"/>
          <w:sz w:val="20"/>
          <w:szCs w:val="20"/>
        </w:rPr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sz w:val="28"/>
          <w:szCs w:val="28"/>
        </w:rPr>
        <w:t xml:space="preserve">Под оценкой эффективности </w:t>
      </w:r>
      <w:r>
        <w:rPr>
          <w:color w:val="22272f"/>
          <w:sz w:val="28"/>
          <w:szCs w:val="28"/>
        </w:rPr>
        <w:t xml:space="preserve">программы профилактики понимается оценка изменения количества нарушений обязательных требований, в том числе в отношении </w:t>
      </w:r>
      <w:r>
        <w:rPr>
          <w:bCs/>
          <w:iCs/>
          <w:sz w:val="28"/>
          <w:szCs w:val="28"/>
        </w:rPr>
        <w:t xml:space="preserve">земельных участков, отнесенных к категориям среднего и умеренного рисков, по итогам проведенных профилактических мероприятий. Уменьшение</w:t>
      </w:r>
      <w:r>
        <w:rPr>
          <w:color w:val="22272f"/>
          <w:sz w:val="28"/>
          <w:szCs w:val="28"/>
        </w:rPr>
        <w:t xml:space="preserve"> количества нарушений обязательных требований, в том числе вследствие использования контролируемыми лицами процедур: 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22272f"/>
          <w:sz w:val="28"/>
          <w:szCs w:val="28"/>
        </w:rPr>
        <w:t xml:space="preserve">- предоставления земельных участков, находящихся в государственной или муниципальной собственности, 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изменения видов разрешенного использования земельного участка, 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получения разрешения на условно разрешенный вид использования земельного участка, </w:t>
      </w:r>
      <w:r>
        <w:rPr>
          <w:color w:val="000000"/>
          <w:sz w:val="28"/>
          <w:szCs w:val="28"/>
        </w:rPr>
        <w:t xml:space="preserve">информация о которых была доведена до контролируемых лиц в ходе реализации профилактических мероприятий, может свидетельствовать о высокой эффективности программы профилактики. 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sz w:val="28"/>
          <w:szCs w:val="28"/>
        </w:rPr>
      </w:pPr>
      <w:r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>
        <w:rPr>
          <w:color w:val="22272f"/>
          <w:sz w:val="28"/>
          <w:szCs w:val="28"/>
        </w:rPr>
        <w:t xml:space="preserve">программы профилактики, </w:t>
      </w:r>
      <w:r>
        <w:rPr>
          <w:color w:val="22272f"/>
          <w:sz w:val="28"/>
          <w:szCs w:val="28"/>
        </w:rPr>
        <w:t xml:space="preserve">а также</w:t>
      </w:r>
      <w:r>
        <w:rPr>
          <w:b w:val="0"/>
          <w:bCs w:val="0"/>
          <w:color w:val="22272f"/>
          <w:sz w:val="28"/>
          <w:szCs w:val="28"/>
        </w:rPr>
        <w:t xml:space="preserve"> ежегодная оценка результативности и эффективности программы профилактики </w:t>
      </w:r>
      <w:r>
        <w:rPr>
          <w:b w:val="0"/>
          <w:bCs w:val="0"/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осуществляется Главой </w:t>
      </w:r>
      <w:r>
        <w:rPr>
          <w:rFonts w:eastAsia="Times New Roman" w:cs="Times New Roman"/>
          <w:color w:val="22272f"/>
          <w:sz w:val="28"/>
          <w:szCs w:val="28"/>
          <w:lang w:val="ru-RU" w:eastAsia="ru-RU" w:bidi="ar-SA"/>
        </w:rPr>
        <w:t xml:space="preserve">муниципального района Алексеевский Самарской области</w:t>
      </w:r>
      <w:r>
        <w:rPr>
          <w:color w:val="22272f"/>
          <w:sz w:val="28"/>
          <w:szCs w:val="28"/>
        </w:rPr>
        <w:t xml:space="preserve">.</w:t>
      </w:r>
      <w:r/>
    </w:p>
    <w:p>
      <w:pPr>
        <w:pStyle w:val="776"/>
        <w:ind w:left="0" w:right="0" w:firstLine="0"/>
        <w:jc w:val="both"/>
        <w:spacing w:before="0" w:after="0" w:line="240" w:lineRule="auto"/>
        <w:shd w:val="clear" w:color="ffffff" w:fill="ffffff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850" w:bottom="1248" w:left="1701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erif">
    <w:panose1 w:val="020A060304050502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0"/>
      <w:jc w:val="center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4"/>
        <w:szCs w:val="24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6">
    <w:name w:val="table of figures"/>
    <w:basedOn w:val="776"/>
    <w:next w:val="776"/>
    <w:uiPriority w:val="99"/>
    <w:unhideWhenUsed/>
    <w:pPr>
      <w:spacing w:after="0" w:afterAutospacing="0"/>
    </w:pPr>
  </w:style>
  <w:style w:type="table" w:styleId="64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4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4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5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5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7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7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7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7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8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8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68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68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68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68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68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68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68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9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69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69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69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69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69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1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1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1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1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1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1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3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4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4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4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4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4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4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4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5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5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5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75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75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75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75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75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75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75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76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76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76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76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76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76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76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6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6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6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7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7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73">
    <w:name w:val="Hyperlink"/>
    <w:uiPriority w:val="99"/>
    <w:unhideWhenUsed/>
    <w:rPr>
      <w:color w:val="0000ff" w:themeColor="hyperlink"/>
      <w:u w:val="single"/>
    </w:rPr>
  </w:style>
  <w:style w:type="character" w:styleId="774">
    <w:name w:val="footnote reference"/>
    <w:basedOn w:val="806"/>
    <w:uiPriority w:val="99"/>
    <w:unhideWhenUsed/>
    <w:rPr>
      <w:vertAlign w:val="superscript"/>
    </w:rPr>
  </w:style>
  <w:style w:type="character" w:styleId="775">
    <w:name w:val="endnote reference"/>
    <w:basedOn w:val="806"/>
    <w:uiPriority w:val="99"/>
    <w:semiHidden/>
    <w:unhideWhenUsed/>
    <w:rPr>
      <w:vertAlign w:val="superscript"/>
    </w:rPr>
  </w:style>
  <w:style w:type="paragraph" w:styleId="776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777">
    <w:name w:val="Heading 1"/>
    <w:basedOn w:val="77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78">
    <w:name w:val="Heading 2"/>
    <w:basedOn w:val="77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79">
    <w:name w:val="Heading 3"/>
    <w:basedOn w:val="7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0">
    <w:name w:val="Heading 4"/>
    <w:basedOn w:val="77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1">
    <w:name w:val="Heading 5"/>
    <w:basedOn w:val="77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2">
    <w:name w:val="Heading 6"/>
    <w:basedOn w:val="776"/>
    <w:link w:val="83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3">
    <w:name w:val="Heading 7"/>
    <w:basedOn w:val="7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4">
    <w:name w:val="Heading 8"/>
    <w:basedOn w:val="7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5">
    <w:name w:val="Heading 9"/>
    <w:basedOn w:val="7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6">
    <w:name w:val="Heading 1 Char"/>
    <w:basedOn w:val="806"/>
    <w:link w:val="829"/>
    <w:uiPriority w:val="9"/>
    <w:qFormat/>
    <w:rPr>
      <w:rFonts w:ascii="Arial" w:hAnsi="Arial" w:eastAsia="Arial" w:cs="Arial"/>
      <w:sz w:val="40"/>
      <w:szCs w:val="40"/>
    </w:rPr>
  </w:style>
  <w:style w:type="character" w:styleId="787">
    <w:name w:val="Heading 2 Char"/>
    <w:basedOn w:val="806"/>
    <w:uiPriority w:val="9"/>
    <w:qFormat/>
    <w:rPr>
      <w:rFonts w:ascii="Arial" w:hAnsi="Arial" w:eastAsia="Arial" w:cs="Arial"/>
      <w:sz w:val="34"/>
    </w:rPr>
  </w:style>
  <w:style w:type="character" w:styleId="788">
    <w:name w:val="Heading 3 Char"/>
    <w:basedOn w:val="806"/>
    <w:uiPriority w:val="9"/>
    <w:qFormat/>
    <w:rPr>
      <w:rFonts w:ascii="Arial" w:hAnsi="Arial" w:eastAsia="Arial" w:cs="Arial"/>
      <w:sz w:val="30"/>
      <w:szCs w:val="30"/>
    </w:rPr>
  </w:style>
  <w:style w:type="character" w:styleId="789">
    <w:name w:val="Heading 4 Char"/>
    <w:basedOn w:val="80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0">
    <w:name w:val="Heading 5 Char"/>
    <w:basedOn w:val="80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1">
    <w:name w:val="Heading 6 Char"/>
    <w:basedOn w:val="806"/>
    <w:link w:val="80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2">
    <w:name w:val="Heading 7 Char"/>
    <w:basedOn w:val="80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3">
    <w:name w:val="Heading 8 Char"/>
    <w:basedOn w:val="80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94">
    <w:name w:val="Heading 9 Char"/>
    <w:basedOn w:val="80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95">
    <w:name w:val="Title Char"/>
    <w:basedOn w:val="806"/>
    <w:uiPriority w:val="10"/>
    <w:qFormat/>
    <w:rPr>
      <w:sz w:val="48"/>
      <w:szCs w:val="48"/>
    </w:rPr>
  </w:style>
  <w:style w:type="character" w:styleId="796">
    <w:name w:val="Subtitle Char"/>
    <w:basedOn w:val="806"/>
    <w:uiPriority w:val="11"/>
    <w:qFormat/>
    <w:rPr>
      <w:sz w:val="24"/>
      <w:szCs w:val="24"/>
    </w:rPr>
  </w:style>
  <w:style w:type="character" w:styleId="797">
    <w:name w:val="Quote Char"/>
    <w:uiPriority w:val="29"/>
    <w:qFormat/>
    <w:rPr>
      <w:i/>
    </w:rPr>
  </w:style>
  <w:style w:type="character" w:styleId="798">
    <w:name w:val="Intense Quote Char"/>
    <w:uiPriority w:val="30"/>
    <w:qFormat/>
    <w:rPr>
      <w:i/>
    </w:rPr>
  </w:style>
  <w:style w:type="character" w:styleId="799">
    <w:name w:val="Header Char"/>
    <w:basedOn w:val="806"/>
    <w:uiPriority w:val="99"/>
    <w:qFormat/>
  </w:style>
  <w:style w:type="character" w:styleId="800">
    <w:name w:val="Footer Char"/>
    <w:basedOn w:val="806"/>
    <w:uiPriority w:val="99"/>
    <w:qFormat/>
  </w:style>
  <w:style w:type="character" w:styleId="801">
    <w:name w:val="Caption Char"/>
    <w:uiPriority w:val="99"/>
    <w:qFormat/>
  </w:style>
  <w:style w:type="character" w:styleId="802">
    <w:name w:val="Footnote Text Char"/>
    <w:uiPriority w:val="99"/>
    <w:qFormat/>
    <w:rPr>
      <w:sz w:val="18"/>
    </w:rPr>
  </w:style>
  <w:style w:type="character" w:styleId="803">
    <w:name w:val="Endnote Text Char"/>
    <w:uiPriority w:val="99"/>
    <w:qFormat/>
    <w:rPr>
      <w:sz w:val="20"/>
    </w:rPr>
  </w:style>
  <w:style w:type="character" w:styleId="804">
    <w:name w:val="Привязка концевой сноски"/>
    <w:rPr>
      <w:vertAlign w:val="superscript"/>
    </w:rPr>
  </w:style>
  <w:style w:type="character" w:styleId="805">
    <w:name w:val="Endnote Characters"/>
    <w:uiPriority w:val="99"/>
    <w:semiHidden/>
    <w:unhideWhenUsed/>
    <w:qFormat/>
    <w:rPr>
      <w:vertAlign w:val="superscript"/>
    </w:rPr>
  </w:style>
  <w:style w:type="character" w:styleId="806" w:default="1">
    <w:name w:val="Default Paragraph Font"/>
    <w:uiPriority w:val="1"/>
    <w:semiHidden/>
    <w:unhideWhenUsed/>
    <w:qFormat/>
  </w:style>
  <w:style w:type="character" w:styleId="807">
    <w:name w:val="Интернет-ссылка"/>
    <w:basedOn w:val="806"/>
    <w:uiPriority w:val="99"/>
    <w:semiHidden/>
    <w:unhideWhenUsed/>
    <w:rPr>
      <w:color w:val="0000ff"/>
      <w:u w:val="single"/>
    </w:rPr>
  </w:style>
  <w:style w:type="character" w:styleId="808" w:customStyle="1">
    <w:name w:val="s_10"/>
    <w:basedOn w:val="806"/>
    <w:qFormat/>
  </w:style>
  <w:style w:type="character" w:styleId="809" w:customStyle="1">
    <w:name w:val="Основной текст 2 Знак"/>
    <w:qFormat/>
    <w:rPr>
      <w:lang w:eastAsia="ru-RU"/>
    </w:rPr>
  </w:style>
  <w:style w:type="character" w:styleId="810" w:customStyle="1">
    <w:name w:val="Основной текст 2 Знак1"/>
    <w:basedOn w:val="806"/>
    <w:uiPriority w:val="99"/>
    <w:semiHidden/>
    <w:qFormat/>
  </w:style>
  <w:style w:type="character" w:styleId="811" w:customStyle="1">
    <w:name w:val="Текст сноски Знак"/>
    <w:basedOn w:val="806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12">
    <w:name w:val="Привязка сноски"/>
    <w:rPr>
      <w:vertAlign w:val="superscript"/>
    </w:rPr>
  </w:style>
  <w:style w:type="character" w:styleId="813">
    <w:name w:val="Footnote Characters"/>
    <w:basedOn w:val="806"/>
    <w:uiPriority w:val="99"/>
    <w:semiHidden/>
    <w:unhideWhenUsed/>
    <w:qFormat/>
    <w:rPr>
      <w:vertAlign w:val="superscript"/>
    </w:rPr>
  </w:style>
  <w:style w:type="character" w:styleId="814" w:customStyle="1">
    <w:name w:val="Верхний колонтитул Знак"/>
    <w:basedOn w:val="806"/>
    <w:uiPriority w:val="99"/>
    <w:qFormat/>
    <w:rPr>
      <w:rFonts w:ascii="Times New Roman" w:hAnsi="Times New Roman" w:eastAsia="Times New Roman" w:cs="Times New Roman"/>
      <w:lang w:eastAsia="ru-RU"/>
    </w:rPr>
  </w:style>
  <w:style w:type="character" w:styleId="815" w:customStyle="1">
    <w:name w:val="Нижний колонтитул Знак"/>
    <w:basedOn w:val="806"/>
    <w:uiPriority w:val="99"/>
    <w:qFormat/>
    <w:rPr>
      <w:rFonts w:ascii="Times New Roman" w:hAnsi="Times New Roman" w:eastAsia="Times New Roman" w:cs="Times New Roman"/>
      <w:lang w:eastAsia="ru-RU"/>
    </w:rPr>
  </w:style>
  <w:style w:type="character" w:styleId="816">
    <w:name w:val="page number"/>
    <w:basedOn w:val="806"/>
    <w:uiPriority w:val="99"/>
    <w:semiHidden/>
    <w:unhideWhenUsed/>
    <w:qFormat/>
  </w:style>
  <w:style w:type="character" w:styleId="817">
    <w:name w:val="Символ нумерации"/>
    <w:qFormat/>
  </w:style>
  <w:style w:type="paragraph" w:styleId="818">
    <w:name w:val="Заголовок"/>
    <w:basedOn w:val="776"/>
    <w:next w:val="819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19">
    <w:name w:val="Body Text"/>
    <w:basedOn w:val="776"/>
    <w:pPr>
      <w:spacing w:before="0" w:after="140" w:line="276" w:lineRule="auto"/>
    </w:pPr>
  </w:style>
  <w:style w:type="paragraph" w:styleId="820">
    <w:name w:val="List"/>
    <w:basedOn w:val="819"/>
    <w:rPr>
      <w:rFonts w:ascii="PT Astra Serif" w:hAnsi="PT Astra Serif" w:cs="Noto Sans Devanagari"/>
    </w:rPr>
  </w:style>
  <w:style w:type="paragraph" w:styleId="821">
    <w:name w:val="Caption"/>
    <w:basedOn w:val="77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22">
    <w:name w:val="Указатель"/>
    <w:basedOn w:val="776"/>
    <w:qFormat/>
    <w:pPr>
      <w:suppressLineNumbers/>
    </w:pPr>
    <w:rPr>
      <w:rFonts w:ascii="PT Astra Serif" w:hAnsi="PT Astra Serif" w:cs="Noto Sans Devanagari"/>
    </w:rPr>
  </w:style>
  <w:style w:type="paragraph" w:styleId="823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Calibri"/>
      <w:color w:val="auto"/>
      <w:sz w:val="24"/>
      <w:szCs w:val="24"/>
      <w:lang w:val="ru-RU" w:eastAsia="en-US" w:bidi="ar-SA"/>
    </w:rPr>
  </w:style>
  <w:style w:type="paragraph" w:styleId="824">
    <w:name w:val="Title"/>
    <w:basedOn w:val="77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25">
    <w:name w:val="Subtitle"/>
    <w:basedOn w:val="776"/>
    <w:uiPriority w:val="11"/>
    <w:qFormat/>
    <w:pPr>
      <w:spacing w:before="200" w:after="200"/>
    </w:pPr>
    <w:rPr>
      <w:sz w:val="24"/>
      <w:szCs w:val="24"/>
    </w:rPr>
  </w:style>
  <w:style w:type="paragraph" w:styleId="826">
    <w:name w:val="Quote"/>
    <w:basedOn w:val="776"/>
    <w:uiPriority w:val="29"/>
    <w:qFormat/>
    <w:pPr>
      <w:ind w:left="720" w:right="720" w:firstLine="0"/>
    </w:pPr>
    <w:rPr>
      <w:i/>
    </w:rPr>
  </w:style>
  <w:style w:type="paragraph" w:styleId="827">
    <w:name w:val="Intense Quote"/>
    <w:basedOn w:val="776"/>
    <w:uiPriority w:val="30"/>
    <w:qFormat/>
    <w:pPr>
      <w:ind w:left="720" w:right="720" w:firstLine="0"/>
      <w:spacing w:before="0" w:after="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28">
    <w:name w:val="endnote text"/>
    <w:basedOn w:val="776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29">
    <w:name w:val="toc 1"/>
    <w:basedOn w:val="776"/>
    <w:uiPriority w:val="39"/>
    <w:unhideWhenUsed/>
    <w:pPr>
      <w:ind w:left="0" w:right="0" w:firstLine="0"/>
      <w:spacing w:before="0" w:after="57"/>
    </w:pPr>
  </w:style>
  <w:style w:type="paragraph" w:styleId="830">
    <w:name w:val="toc 2"/>
    <w:basedOn w:val="776"/>
    <w:uiPriority w:val="39"/>
    <w:unhideWhenUsed/>
    <w:pPr>
      <w:ind w:left="283" w:right="0" w:firstLine="0"/>
      <w:spacing w:before="0" w:after="57"/>
    </w:pPr>
  </w:style>
  <w:style w:type="paragraph" w:styleId="831">
    <w:name w:val="toc 3"/>
    <w:basedOn w:val="776"/>
    <w:uiPriority w:val="39"/>
    <w:unhideWhenUsed/>
    <w:pPr>
      <w:ind w:left="567" w:right="0" w:firstLine="0"/>
      <w:spacing w:before="0" w:after="57"/>
    </w:pPr>
  </w:style>
  <w:style w:type="paragraph" w:styleId="832">
    <w:name w:val="toc 4"/>
    <w:basedOn w:val="776"/>
    <w:uiPriority w:val="39"/>
    <w:unhideWhenUsed/>
    <w:pPr>
      <w:ind w:left="850" w:right="0" w:firstLine="0"/>
      <w:spacing w:before="0" w:after="57"/>
    </w:pPr>
  </w:style>
  <w:style w:type="paragraph" w:styleId="833">
    <w:name w:val="toc 5"/>
    <w:basedOn w:val="776"/>
    <w:uiPriority w:val="39"/>
    <w:unhideWhenUsed/>
    <w:pPr>
      <w:ind w:left="1134" w:right="0" w:firstLine="0"/>
      <w:spacing w:before="0" w:after="57"/>
    </w:pPr>
  </w:style>
  <w:style w:type="paragraph" w:styleId="834">
    <w:name w:val="toc 6"/>
    <w:basedOn w:val="776"/>
    <w:uiPriority w:val="39"/>
    <w:unhideWhenUsed/>
    <w:pPr>
      <w:ind w:left="1417" w:right="0" w:firstLine="0"/>
      <w:spacing w:before="0" w:after="57"/>
    </w:pPr>
  </w:style>
  <w:style w:type="paragraph" w:styleId="835">
    <w:name w:val="toc 7"/>
    <w:basedOn w:val="776"/>
    <w:uiPriority w:val="39"/>
    <w:unhideWhenUsed/>
    <w:pPr>
      <w:ind w:left="1701" w:right="0" w:firstLine="0"/>
      <w:spacing w:before="0" w:after="57"/>
    </w:pPr>
  </w:style>
  <w:style w:type="paragraph" w:styleId="836">
    <w:name w:val="toc 8"/>
    <w:basedOn w:val="776"/>
    <w:uiPriority w:val="39"/>
    <w:unhideWhenUsed/>
    <w:pPr>
      <w:ind w:left="1984" w:right="0" w:firstLine="0"/>
      <w:spacing w:before="0" w:after="57"/>
    </w:pPr>
  </w:style>
  <w:style w:type="paragraph" w:styleId="837">
    <w:name w:val="toc 9"/>
    <w:basedOn w:val="776"/>
    <w:uiPriority w:val="39"/>
    <w:unhideWhenUsed/>
    <w:pPr>
      <w:ind w:left="2268" w:right="0" w:firstLine="0"/>
      <w:spacing w:before="0" w:after="57"/>
    </w:pPr>
  </w:style>
  <w:style w:type="paragraph" w:styleId="838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Calibri"/>
      <w:color w:val="auto"/>
      <w:sz w:val="24"/>
      <w:szCs w:val="24"/>
      <w:lang w:val="ru-RU" w:eastAsia="en-US" w:bidi="ar-SA"/>
    </w:rPr>
  </w:style>
  <w:style w:type="paragraph" w:styleId="839" w:customStyle="1">
    <w:name w:val="s_3"/>
    <w:basedOn w:val="776"/>
    <w:qFormat/>
    <w:pPr>
      <w:spacing w:beforeAutospacing="1" w:afterAutospacing="1"/>
    </w:pPr>
  </w:style>
  <w:style w:type="paragraph" w:styleId="840" w:customStyle="1">
    <w:name w:val="s_1"/>
    <w:basedOn w:val="776"/>
    <w:qFormat/>
    <w:pPr>
      <w:spacing w:beforeAutospacing="1" w:afterAutospacing="1"/>
    </w:pPr>
  </w:style>
  <w:style w:type="paragraph" w:styleId="841" w:customStyle="1">
    <w:name w:val="s_16"/>
    <w:basedOn w:val="776"/>
    <w:qFormat/>
    <w:pPr>
      <w:spacing w:beforeAutospacing="1" w:afterAutospacing="1"/>
    </w:pPr>
  </w:style>
  <w:style w:type="paragraph" w:styleId="842" w:customStyle="1">
    <w:name w:val="empty"/>
    <w:basedOn w:val="776"/>
    <w:qFormat/>
    <w:pPr>
      <w:spacing w:beforeAutospacing="1" w:afterAutospacing="1"/>
    </w:pPr>
  </w:style>
  <w:style w:type="paragraph" w:styleId="843" w:customStyle="1">
    <w:name w:val="s_37"/>
    <w:basedOn w:val="776"/>
    <w:qFormat/>
    <w:pPr>
      <w:spacing w:beforeAutospacing="1" w:afterAutospacing="1"/>
    </w:pPr>
  </w:style>
  <w:style w:type="paragraph" w:styleId="844">
    <w:name w:val="Body Text 2"/>
    <w:basedOn w:val="776"/>
    <w:qFormat/>
    <w:pPr>
      <w:ind w:firstLine="709"/>
      <w:jc w:val="both"/>
    </w:pPr>
  </w:style>
  <w:style w:type="paragraph" w:styleId="845">
    <w:name w:val="List Paragraph"/>
    <w:basedOn w:val="776"/>
    <w:uiPriority w:val="34"/>
    <w:qFormat/>
    <w:pPr>
      <w:contextualSpacing/>
      <w:ind w:left="720" w:firstLine="0"/>
      <w:spacing w:before="0" w:after="0"/>
    </w:pPr>
  </w:style>
  <w:style w:type="paragraph" w:styleId="846" w:customStyle="1">
    <w:name w:val="ConsPlusNormal"/>
    <w:uiPriority w:val="99"/>
    <w:qFormat/>
    <w:pPr>
      <w:ind w:firstLine="720"/>
      <w:jc w:val="left"/>
      <w:spacing w:before="0" w:after="0"/>
      <w:widowControl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847">
    <w:name w:val="footnote text"/>
    <w:basedOn w:val="776"/>
    <w:uiPriority w:val="99"/>
    <w:semiHidden/>
    <w:unhideWhenUsed/>
    <w:rPr>
      <w:sz w:val="20"/>
      <w:szCs w:val="20"/>
    </w:rPr>
  </w:style>
  <w:style w:type="paragraph" w:styleId="848" w:customStyle="1">
    <w:name w:val="s_22"/>
    <w:basedOn w:val="776"/>
    <w:qFormat/>
    <w:pPr>
      <w:spacing w:beforeAutospacing="1" w:afterAutospacing="1"/>
    </w:pPr>
  </w:style>
  <w:style w:type="paragraph" w:styleId="849">
    <w:name w:val="Верхний и нижний колонтитулы"/>
    <w:basedOn w:val="776"/>
    <w:qFormat/>
  </w:style>
  <w:style w:type="paragraph" w:styleId="850">
    <w:name w:val="Header"/>
    <w:basedOn w:val="776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51">
    <w:name w:val="Footer"/>
    <w:basedOn w:val="776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52">
    <w:name w:val="Содержимое таблицы"/>
    <w:basedOn w:val="776"/>
    <w:qFormat/>
    <w:pPr>
      <w:suppressLineNumbers/>
    </w:pPr>
  </w:style>
  <w:style w:type="paragraph" w:styleId="853">
    <w:name w:val="Заголовок таблицы"/>
    <w:basedOn w:val="852"/>
    <w:qFormat/>
    <w:pPr>
      <w:jc w:val="center"/>
      <w:suppressLineNumbers/>
    </w:pPr>
    <w:rPr>
      <w:b/>
      <w:bCs/>
    </w:rPr>
  </w:style>
  <w:style w:type="numbering" w:styleId="854" w:default="1">
    <w:name w:val="No List"/>
    <w:uiPriority w:val="99"/>
    <w:semiHidden/>
    <w:unhideWhenUsed/>
    <w:qFormat/>
  </w:style>
  <w:style w:type="table" w:styleId="85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mailto:adm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dc:description/>
  <dc:language>ru-RU</dc:language>
  <cp:revision>11</cp:revision>
  <dcterms:created xsi:type="dcterms:W3CDTF">2021-11-24T12:43:00Z</dcterms:created>
  <dcterms:modified xsi:type="dcterms:W3CDTF">2023-10-17T07:38:51Z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