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FFFFFF" w:fill="FFFFFF"/>
        <w:spacing w:before="0" w:after="150"/>
        <w:ind w:left="0" w:right="0" w:firstLine="500"/>
        <w:jc w:val="both"/>
        <w:rPr/>
      </w:pPr>
      <w:r>
        <w:rPr>
          <w:rFonts w:eastAsia="Times New Roman" w:cs="Times New Roman"/>
          <w:color w:val="000000" w:themeColor="text1"/>
          <w:sz w:val="28"/>
        </w:rPr>
        <w:t>В соответствии с п.п. 10, 11 Постановления Правительства Российской Федерации от 25.06.2021г.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на сайте Администрации муниципального района Алексеевский Самарской области разделе Контрольно-надзорная деятельность в целях общественного обсуждения размещен проект Программы профилактики рисков причинения вреда (ущерба) охраняемым законом ценностям при проведении мероприятий по осуществлению регионального государственного экологического контроля (надзора) на территории муниципального района Алексеевский Самарской области на 2024 год.</w:t>
      </w:r>
    </w:p>
    <w:p>
      <w:pPr>
        <w:pStyle w:val="Normal"/>
        <w:shd w:val="clear" w:color="FFFFFF" w:fill="FFFFFF"/>
        <w:spacing w:before="0" w:after="150"/>
        <w:ind w:left="0" w:right="0" w:firstLine="500"/>
        <w:jc w:val="both"/>
        <w:rPr>
          <w:color w:val="000000"/>
        </w:rPr>
      </w:pPr>
      <w:r>
        <w:rPr>
          <w:rFonts w:eastAsia="Times New Roman" w:cs="Times New Roman"/>
          <w:color w:val="000000" w:themeColor="text1"/>
          <w:sz w:val="28"/>
        </w:rPr>
        <w:t xml:space="preserve">Общественное обсуждение программы профилактики проводится с 01.10.2023 по 01.11.2023 г. </w:t>
      </w:r>
      <w:r>
        <w:rPr>
          <w:rFonts w:eastAsia="Times New Roman" w:cs="Times New Roman"/>
          <w:color w:val="000000" w:themeColor="text1"/>
          <w:sz w:val="28"/>
        </w:rPr>
        <w:t xml:space="preserve">Срок окончания общественного обсуждения Программы — </w:t>
      </w:r>
      <w:r>
        <w:rPr>
          <w:rFonts w:eastAsia="Times New Roman" w:cs="Times New Roman"/>
          <w:color w:val="000000" w:themeColor="text1"/>
          <w:sz w:val="28"/>
        </w:rPr>
        <w:t>01.11.2023 17 час.30 мин</w:t>
      </w:r>
      <w:r>
        <w:rPr>
          <w:rFonts w:eastAsia="Times New Roman" w:cs="Times New Roman"/>
          <w:color w:val="000000" w:themeColor="text1"/>
          <w:sz w:val="28"/>
        </w:rPr>
        <w:t xml:space="preserve">. Предложения принимаются на адрес электронной почты </w:t>
      </w:r>
      <w:hyperlink r:id="rId2">
        <w:r>
          <w:rPr>
            <w:rFonts w:eastAsia="Times New Roman" w:cs="Times New Roman"/>
            <w:color w:val="000000" w:themeColor="text1"/>
            <w:sz w:val="28"/>
          </w:rPr>
          <w:t>adm@alexadm63.ru</w:t>
        </w:r>
      </w:hyperlink>
      <w:r>
        <w:rPr>
          <w:rFonts w:eastAsia="Times New Roman" w:cs="Times New Roman"/>
          <w:color w:val="000000" w:themeColor="text1"/>
          <w:sz w:val="28"/>
        </w:rPr>
        <w:t xml:space="preserve">, </w:t>
      </w:r>
      <w:r>
        <w:rPr>
          <w:rFonts w:eastAsia="Times New Roman" w:cs="Times New Roman"/>
          <w:color w:val="000000" w:themeColor="text1"/>
          <w:sz w:val="28"/>
        </w:rPr>
        <w:t>а также на юридический адрес 446640 Самарская область, Алексеевский район, с. Алексеевка ул. Советская, 7, либо личное обращение по вышеуказанному адресу, каб. № 6</w:t>
      </w:r>
    </w:p>
    <w:p>
      <w:pPr>
        <w:pStyle w:val="Normal"/>
        <w:widowControl w:val="false"/>
        <w:jc w:val="right"/>
        <w:rPr>
          <w:rFonts w:ascii="Arial" w:hAnsi="Arial"/>
          <w:highlight w:val="none"/>
        </w:rPr>
      </w:pPr>
      <w:r>
        <w:rPr>
          <w:rFonts w:ascii="Arial" w:hAnsi="Arial"/>
        </w:rPr>
      </w:r>
    </w:p>
    <w:p>
      <w:pPr>
        <w:pStyle w:val="Normal"/>
        <w:widowControl w:val="false"/>
        <w:jc w:val="right"/>
        <w:rPr>
          <w:rFonts w:ascii="Arial" w:hAnsi="Arial"/>
          <w:highlight w:val="none"/>
        </w:rPr>
      </w:pPr>
      <w:r>
        <w:rPr>
          <w:rFonts w:ascii="Arial" w:hAnsi="Arial"/>
        </w:rPr>
      </w:r>
    </w:p>
    <w:p>
      <w:pPr>
        <w:pStyle w:val="Normal"/>
        <w:widowControl w:val="false"/>
        <w:jc w:val="right"/>
        <w:rPr>
          <w:rFonts w:ascii="Arial" w:hAnsi="Arial"/>
          <w:highlight w:val="none"/>
        </w:rPr>
      </w:pPr>
      <w:r>
        <w:rPr>
          <w:rFonts w:ascii="Arial" w:hAnsi="Arial"/>
        </w:rPr>
      </w:r>
    </w:p>
    <w:p>
      <w:pPr>
        <w:pStyle w:val="Normal"/>
        <w:widowControl w:val="false"/>
        <w:jc w:val="right"/>
        <w:rPr>
          <w:rFonts w:ascii="Arial" w:hAnsi="Arial"/>
          <w:highlight w:val="none"/>
        </w:rPr>
      </w:pPr>
      <w:r>
        <w:rPr>
          <w:rFonts w:ascii="Arial" w:hAnsi="Arial"/>
        </w:rPr>
      </w:r>
    </w:p>
    <w:p>
      <w:pPr>
        <w:pStyle w:val="Normal"/>
        <w:widowControl w:val="false"/>
        <w:jc w:val="right"/>
        <w:rPr>
          <w:rFonts w:ascii="Arial" w:hAnsi="Arial"/>
          <w:highlight w:val="none"/>
        </w:rPr>
      </w:pPr>
      <w:r>
        <w:rPr>
          <w:rFonts w:ascii="Arial" w:hAnsi="Arial"/>
        </w:rPr>
        <w:t>ПРОЕКТ</w:t>
      </w:r>
    </w:p>
    <w:p>
      <w:pPr>
        <w:pStyle w:val="Normal"/>
        <w:ind w:left="5184" w:hanging="0"/>
        <w:jc w:val="right"/>
        <w:rPr/>
      </w:pPr>
      <w:r>
        <w:rPr/>
      </w:r>
    </w:p>
    <w:p>
      <w:pPr>
        <w:pStyle w:val="Normal"/>
        <w:ind w:left="5184" w:hanging="0"/>
        <w:jc w:val="right"/>
        <w:rPr>
          <w:sz w:val="28"/>
          <w:szCs w:val="28"/>
          <w:highlight w:val="none"/>
        </w:rPr>
      </w:pPr>
      <w:r>
        <w:rPr>
          <w:sz w:val="28"/>
          <w:szCs w:val="28"/>
        </w:rPr>
        <w:t xml:space="preserve">Утверждена </w:t>
      </w:r>
    </w:p>
    <w:p>
      <w:pPr>
        <w:pStyle w:val="Normal"/>
        <w:ind w:left="5184" w:hanging="0"/>
        <w:jc w:val="right"/>
        <w:rPr/>
      </w:pPr>
      <w:r>
        <w:rPr>
          <w:sz w:val="28"/>
          <w:szCs w:val="28"/>
        </w:rPr>
        <w:t xml:space="preserve">постановлением Администрации муниципального района Алексеевский  </w:t>
      </w:r>
    </w:p>
    <w:p>
      <w:pPr>
        <w:pStyle w:val="Normal"/>
        <w:rPr/>
      </w:pPr>
      <w:r>
        <w:rPr>
          <w:sz w:val="28"/>
          <w:szCs w:val="28"/>
        </w:rPr>
        <w:t xml:space="preserve">                                                                   №</w:t>
      </w:r>
      <w:r>
        <w:rPr>
          <w:sz w:val="28"/>
          <w:szCs w:val="28"/>
        </w:rPr>
        <w:t xml:space="preserve">______ от «____»__________2023 г. </w:t>
      </w:r>
    </w:p>
    <w:p>
      <w:pPr>
        <w:pStyle w:val="Normal"/>
        <w:widowControl w:val="false"/>
        <w:jc w:val="right"/>
        <w:rPr>
          <w:rFonts w:ascii="Arial" w:hAnsi="Arial"/>
        </w:rPr>
      </w:pPr>
      <w:r>
        <w:rPr>
          <w:rFonts w:ascii="Arial" w:hAnsi="Arial"/>
        </w:rPr>
      </w:r>
    </w:p>
    <w:p>
      <w:pPr>
        <w:pStyle w:val="Normal"/>
        <w:widowControl w:val="false"/>
        <w:jc w:val="both"/>
        <w:rPr>
          <w:rFonts w:ascii="Arial" w:hAnsi="Arial"/>
        </w:rPr>
      </w:pPr>
      <w:r>
        <w:rPr>
          <w:rFonts w:ascii="Arial" w:hAnsi="Arial"/>
        </w:rPr>
      </w:r>
    </w:p>
    <w:p>
      <w:pPr>
        <w:pStyle w:val="Normal"/>
        <w:widowControl w:val="false"/>
        <w:jc w:val="both"/>
        <w:rPr>
          <w:rFonts w:ascii="Arial" w:hAnsi="Arial"/>
        </w:rPr>
      </w:pPr>
      <w:r>
        <w:rPr>
          <w:rFonts w:ascii="Arial" w:hAnsi="Arial"/>
        </w:rPr>
      </w:r>
    </w:p>
    <w:p>
      <w:pPr>
        <w:pStyle w:val="Normal"/>
        <w:widowControl w:val="false"/>
        <w:jc w:val="center"/>
        <w:rPr/>
      </w:pPr>
      <w:r>
        <w:rPr>
          <w:b/>
          <w:sz w:val="28"/>
          <w:szCs w:val="28"/>
        </w:rPr>
        <w:t>Программа</w:t>
      </w:r>
    </w:p>
    <w:p>
      <w:pPr>
        <w:pStyle w:val="Normal"/>
        <w:widowControl w:val="false"/>
        <w:jc w:val="center"/>
        <w:rPr/>
      </w:pPr>
      <w:r>
        <w:rPr>
          <w:b/>
          <w:sz w:val="28"/>
          <w:szCs w:val="28"/>
        </w:rPr>
        <w:t xml:space="preserve">профилактики рисков причинения вреда (ущерба) охраняемым законом ценностям в рамках организации и осуществления регионального государственного экологического контроля (надзора) на территории муниципального района Алексеевский Самарской области  </w:t>
      </w:r>
    </w:p>
    <w:p>
      <w:pPr>
        <w:pStyle w:val="Normal"/>
        <w:widowControl w:val="false"/>
        <w:jc w:val="center"/>
        <w:rPr>
          <w:b/>
          <w:b/>
          <w:sz w:val="28"/>
        </w:rPr>
      </w:pPr>
      <w:r>
        <w:rPr>
          <w:b/>
          <w:sz w:val="28"/>
          <w:szCs w:val="28"/>
        </w:rPr>
        <w:t>на 2024 год</w:t>
      </w:r>
    </w:p>
    <w:p>
      <w:pPr>
        <w:pStyle w:val="Normal"/>
        <w:widowControl w:val="false"/>
        <w:jc w:val="center"/>
        <w:rPr>
          <w:b/>
          <w:b/>
          <w:sz w:val="28"/>
          <w:szCs w:val="28"/>
        </w:rPr>
      </w:pPr>
      <w:r>
        <w:rPr>
          <w:b/>
          <w:sz w:val="28"/>
          <w:szCs w:val="28"/>
        </w:rPr>
      </w:r>
    </w:p>
    <w:p>
      <w:pPr>
        <w:pStyle w:val="Normal"/>
        <w:widowControl w:val="false"/>
        <w:shd w:val="clear" w:color="FFFFFF" w:fill="FFFFFF" w:themeFill="background1"/>
        <w:jc w:val="both"/>
        <w:rPr/>
      </w:pPr>
      <w:r>
        <w:rPr>
          <w:sz w:val="28"/>
          <w:szCs w:val="28"/>
        </w:rPr>
        <w:tab/>
        <w:t xml:space="preserve"> Настоящая Программа профилактики разработана в соответствии со ст. 44 Федерального закона от 31.07.2021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Законом Самарской области от 06.04.2010 №36 - ГД «О наделении органов местного самоуправления отдельными государственными полномочиями в сфере охраны окружающей среды».</w:t>
      </w:r>
    </w:p>
    <w:p>
      <w:pPr>
        <w:pStyle w:val="2"/>
        <w:jc w:val="both"/>
        <w:rPr/>
      </w:pPr>
      <w:r>
        <w:rPr/>
      </w:r>
    </w:p>
    <w:p>
      <w:pPr>
        <w:pStyle w:val="2"/>
        <w:ind w:firstLine="708"/>
        <w:jc w:val="both"/>
        <w:rPr>
          <w:b/>
          <w:b/>
          <w:bCs/>
        </w:rPr>
      </w:pPr>
      <w:r>
        <w:rPr>
          <w:rFonts w:cs="Times New Roman" w:ascii="Times New Roman" w:hAnsi="Times New Roman"/>
          <w:b/>
          <w:bCs/>
          <w:sz w:val="28"/>
          <w:szCs w:val="28"/>
        </w:rPr>
        <w:t>Раздел 1. 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pPr>
        <w:pStyle w:val="FORMATTEXT"/>
        <w:shd w:val="clear" w:color="FFFFFF" w:fill="FFFFFF" w:themeFill="background1"/>
        <w:ind w:left="0" w:right="0" w:firstLine="568"/>
        <w:jc w:val="both"/>
        <w:rPr>
          <w:rFonts w:ascii="Times New Roman" w:hAnsi="Times New Roman" w:cs="Times New Roman"/>
        </w:rPr>
      </w:pPr>
      <w:r>
        <w:rPr>
          <w:rFonts w:cs="Times New Roman" w:ascii="Times New Roman" w:hAnsi="Times New Roman"/>
        </w:rPr>
      </w:r>
    </w:p>
    <w:p>
      <w:pPr>
        <w:pStyle w:val="Normal"/>
        <w:widowControl w:val="false"/>
        <w:shd w:val="clear" w:color="FFFFFF" w:fill="FFFFFF" w:themeFill="background1"/>
        <w:ind w:firstLine="709"/>
        <w:jc w:val="both"/>
        <w:rPr/>
      </w:pPr>
      <w:r>
        <w:rPr>
          <w:sz w:val="28"/>
          <w:szCs w:val="28"/>
        </w:rPr>
        <w:t>Мероприятия по реализации программы профилактики рисков причинения вреда (ущерба) охраняемым законом ценностям в рамках организации и осуществления регионального государственного экологического контроля (надзора) на территории муниципального района Алексеевский Самарской области по организации и осуществлению регионального государственного экологического контроля  (надзора), осуществляются должностными лицами отдела по экологии и природопользованию Администрации муниципального района Алексеевский Самарской области (далее - отдел по экологии), уполномоченными на осуществление регионального государственного экологического контроля  (надзора).</w:t>
      </w:r>
    </w:p>
    <w:p>
      <w:pPr>
        <w:pStyle w:val="FORMATTEXT"/>
        <w:ind w:left="0" w:right="0" w:firstLine="568"/>
        <w:jc w:val="both"/>
        <w:rPr>
          <w:rFonts w:ascii="Times New Roman" w:hAnsi="Times New Roman" w:cs="Times New Roman"/>
        </w:rPr>
      </w:pPr>
      <w:r>
        <w:rPr>
          <w:rFonts w:cs="Times New Roman" w:ascii="Times New Roman" w:hAnsi="Times New Roman"/>
        </w:rPr>
      </w:r>
    </w:p>
    <w:p>
      <w:pPr>
        <w:pStyle w:val="Normal"/>
        <w:ind w:firstLine="851"/>
        <w:jc w:val="both"/>
        <w:rPr/>
      </w:pPr>
      <w:r>
        <w:rPr>
          <w:sz w:val="28"/>
          <w:szCs w:val="28"/>
        </w:rPr>
        <w:t>Сотрудники, уполномоченные на осуществление регионального государственного экологического контроля (надзора), наделены отдельными государственными полномочиями в области охраны окружающей среды, в следующих сферах:</w:t>
      </w:r>
    </w:p>
    <w:p>
      <w:pPr>
        <w:pStyle w:val="Normal"/>
        <w:widowControl w:val="false"/>
        <w:ind w:firstLine="709"/>
        <w:jc w:val="both"/>
        <w:rPr/>
      </w:pPr>
      <w:r>
        <w:rPr>
          <w:sz w:val="28"/>
          <w:szCs w:val="28"/>
        </w:rPr>
        <w:t>а) государственный надзор в области обращения с отходами;</w:t>
      </w:r>
    </w:p>
    <w:p>
      <w:pPr>
        <w:pStyle w:val="Normal"/>
        <w:widowControl w:val="false"/>
        <w:ind w:firstLine="709"/>
        <w:jc w:val="both"/>
        <w:rPr/>
      </w:pPr>
      <w:r>
        <w:rPr>
          <w:sz w:val="28"/>
          <w:szCs w:val="28"/>
        </w:rPr>
        <w:t>б) государственный надзор в области охраны атмосферного воздуха;</w:t>
      </w:r>
    </w:p>
    <w:p>
      <w:pPr>
        <w:pStyle w:val="Normal"/>
        <w:widowControl w:val="false"/>
        <w:ind w:firstLine="709"/>
        <w:jc w:val="both"/>
        <w:rPr/>
      </w:pPr>
      <w:r>
        <w:rPr>
          <w:sz w:val="28"/>
          <w:szCs w:val="28"/>
        </w:rPr>
        <w:t>в) государственный надзор в области охраны водных объектов, за исключением водных объектов, подлежащих федеральному государственному надзору.</w:t>
      </w:r>
    </w:p>
    <w:p>
      <w:pPr>
        <w:pStyle w:val="Normal"/>
        <w:widowControl w:val="false"/>
        <w:ind w:firstLine="708"/>
        <w:jc w:val="both"/>
        <w:rPr>
          <w:rFonts w:eastAsia="Calibri"/>
          <w:lang w:eastAsia="en-US"/>
        </w:rPr>
      </w:pPr>
      <w:r>
        <w:rPr>
          <w:rFonts w:eastAsia="Calibri"/>
          <w:sz w:val="28"/>
          <w:szCs w:val="28"/>
          <w:lang w:eastAsia="en-US"/>
        </w:rPr>
        <w:t xml:space="preserve">Ключевым риском является вероятность причинения вреда окружающей среде юридическими лицами и индивидуальными предпринимателями, осуществляющими хозяйственную и (или) иную деятельность на объектах, подлежащих региональному государственному экологическому контролю (надзору) расположенных на территории муниципального района Алексеевский. </w:t>
      </w:r>
    </w:p>
    <w:p>
      <w:pPr>
        <w:pStyle w:val="Normal"/>
        <w:widowControl w:val="false"/>
        <w:ind w:firstLine="708"/>
        <w:jc w:val="both"/>
        <w:rPr>
          <w:rFonts w:eastAsia="Calibri"/>
          <w:lang w:eastAsia="en-US"/>
        </w:rPr>
      </w:pPr>
      <w:r>
        <w:rPr>
          <w:rFonts w:eastAsia="Calibri"/>
          <w:sz w:val="28"/>
          <w:szCs w:val="28"/>
          <w:lang w:eastAsia="en-US"/>
        </w:rPr>
        <w:t>С целью учета риска для окружающей среды подконтрольные объекты, подлежащие региональному государственному экологическому контролю (надзору),  распределены на 4 категории по уровню негативного воздействия на окружающую среду:</w:t>
      </w:r>
    </w:p>
    <w:p>
      <w:pPr>
        <w:pStyle w:val="Normal"/>
        <w:widowControl w:val="false"/>
        <w:ind w:firstLine="851"/>
        <w:jc w:val="both"/>
        <w:rPr>
          <w:rFonts w:eastAsia="Calibri"/>
          <w:lang w:eastAsia="en-US"/>
        </w:rPr>
      </w:pPr>
      <w:r>
        <w:rPr>
          <w:rFonts w:eastAsia="Symbol" w:cs="Symbol" w:ascii="Symbol" w:hAnsi="Symbol"/>
          <w:sz w:val="28"/>
          <w:szCs w:val="28"/>
          <w:lang w:eastAsia="en-US"/>
        </w:rPr>
        <w:t>-</w:t>
      </w:r>
      <w:r>
        <w:rPr>
          <w:rFonts w:eastAsia="Calibri"/>
          <w:sz w:val="28"/>
          <w:szCs w:val="28"/>
          <w:lang w:eastAsia="en-US"/>
        </w:rPr>
        <w:t xml:space="preserve"> 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pPr>
        <w:pStyle w:val="Normal"/>
        <w:widowControl w:val="false"/>
        <w:ind w:firstLine="851"/>
        <w:jc w:val="both"/>
        <w:rPr>
          <w:rFonts w:eastAsia="Calibri"/>
          <w:lang w:eastAsia="en-US"/>
        </w:rPr>
      </w:pPr>
      <w:r>
        <w:rPr>
          <w:rFonts w:eastAsia="Calibri"/>
          <w:sz w:val="28"/>
          <w:szCs w:val="28"/>
          <w:lang w:eastAsia="en-US"/>
        </w:rPr>
        <w:t xml:space="preserve"> </w:t>
      </w:r>
      <w:r>
        <w:rPr>
          <w:rFonts w:eastAsia="Symbol" w:cs="Symbol" w:ascii="Symbol" w:hAnsi="Symbol"/>
          <w:sz w:val="28"/>
          <w:szCs w:val="28"/>
          <w:lang w:eastAsia="en-US"/>
        </w:rPr>
        <w:t>-</w:t>
      </w:r>
      <w:r>
        <w:rPr>
          <w:rFonts w:eastAsia="Calibri"/>
          <w:sz w:val="28"/>
          <w:szCs w:val="28"/>
          <w:lang w:eastAsia="en-US"/>
        </w:rPr>
        <w:t xml:space="preserve"> объекты, оказывающие умеренное негативное воздействие на окружающую среду, - объекты II категории;</w:t>
      </w:r>
    </w:p>
    <w:p>
      <w:pPr>
        <w:pStyle w:val="Normal"/>
        <w:ind w:firstLine="708"/>
        <w:jc w:val="both"/>
        <w:rPr>
          <w:rFonts w:eastAsia="Calibri"/>
          <w:lang w:eastAsia="en-US"/>
        </w:rPr>
      </w:pPr>
      <w:r>
        <w:rPr>
          <w:rFonts w:eastAsia="Calibri"/>
          <w:sz w:val="28"/>
          <w:szCs w:val="28"/>
          <w:lang w:eastAsia="en-US"/>
        </w:rPr>
        <w:t xml:space="preserve"> </w:t>
      </w:r>
      <w:r>
        <w:rPr>
          <w:rFonts w:eastAsia="Symbol" w:cs="Symbol" w:ascii="Symbol" w:hAnsi="Symbol"/>
          <w:sz w:val="28"/>
          <w:szCs w:val="28"/>
          <w:lang w:eastAsia="en-US"/>
        </w:rPr>
        <w:t>-</w:t>
      </w:r>
      <w:r>
        <w:rPr>
          <w:rFonts w:eastAsia="Calibri"/>
          <w:sz w:val="28"/>
          <w:szCs w:val="28"/>
          <w:lang w:eastAsia="en-US"/>
        </w:rPr>
        <w:t xml:space="preserve"> объекты, оказывающие незначительное негативное воздействие на окружающую среду, - объекты III категории;</w:t>
      </w:r>
    </w:p>
    <w:p>
      <w:pPr>
        <w:pStyle w:val="Normal"/>
        <w:ind w:firstLine="708"/>
        <w:jc w:val="both"/>
        <w:rPr/>
      </w:pPr>
      <w:r>
        <w:rPr>
          <w:rFonts w:eastAsia="Calibri"/>
          <w:sz w:val="28"/>
          <w:szCs w:val="28"/>
          <w:lang w:eastAsia="en-US"/>
        </w:rPr>
        <w:t xml:space="preserve"> </w:t>
      </w:r>
      <w:r>
        <w:rPr>
          <w:rFonts w:eastAsia="Symbol" w:cs="Symbol" w:ascii="Symbol" w:hAnsi="Symbol"/>
          <w:sz w:val="28"/>
          <w:szCs w:val="28"/>
          <w:lang w:eastAsia="en-US"/>
        </w:rPr>
        <w:t>-</w:t>
      </w:r>
      <w:r>
        <w:rPr>
          <w:rFonts w:eastAsia="Calibri"/>
          <w:sz w:val="28"/>
          <w:szCs w:val="28"/>
          <w:lang w:eastAsia="en-US"/>
        </w:rPr>
        <w:t xml:space="preserve"> объекты, оказывающие минимальное негативное воздействие на окружающую среду, - объекты IV категории. </w:t>
      </w:r>
    </w:p>
    <w:p>
      <w:pPr>
        <w:pStyle w:val="Normal"/>
        <w:ind w:firstLine="708"/>
        <w:jc w:val="both"/>
        <w:rPr/>
      </w:pPr>
      <w:r>
        <w:rPr>
          <w:rFonts w:eastAsia="Calibri" w:cs="Times New Roman"/>
          <w:sz w:val="28"/>
          <w:szCs w:val="28"/>
          <w:lang w:eastAsia="en-US"/>
        </w:rPr>
        <w:t>Разделение объектов на категории осуществляется в зависимости от видов экономической деятельности и уровней негативного воздействия на окружающую среду в соответствии с критериями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31 декабря 2020 года № 2398. «</w:t>
      </w:r>
      <w:hyperlink r:id="rId3" w:tgtFrame="kodeks://link/d?nd=573292854">
        <w:r>
          <w:rPr>
            <w:rFonts w:cs="Times New Roman"/>
            <w:sz w:val="28"/>
            <w:szCs w:val="28"/>
          </w:rPr>
          <w:t xml:space="preserve">Об утверждении критериев отнесения объектов, оказывающих негативное воздействие на окружающую среду, к объектам I, II, III и IV категорий». </w:t>
        </w:r>
      </w:hyperlink>
    </w:p>
    <w:p>
      <w:pPr>
        <w:pStyle w:val="Normal"/>
        <w:ind w:firstLine="708"/>
        <w:jc w:val="both"/>
        <w:rPr>
          <w:rFonts w:eastAsia="Calibri"/>
          <w:lang w:eastAsia="en-US"/>
        </w:rPr>
      </w:pPr>
      <w:r>
        <w:rPr>
          <w:rFonts w:eastAsia="Calibri"/>
          <w:sz w:val="28"/>
          <w:szCs w:val="28"/>
          <w:lang w:eastAsia="en-US"/>
        </w:rPr>
        <w:t>Региональный государственный экологический контроль (надзор) осуществляется посредством:</w:t>
      </w:r>
    </w:p>
    <w:p>
      <w:pPr>
        <w:pStyle w:val="Normal"/>
        <w:spacing w:before="0" w:after="0"/>
        <w:ind w:firstLine="851"/>
        <w:contextualSpacing/>
        <w:jc w:val="both"/>
        <w:rPr>
          <w:rFonts w:eastAsia="Calibri"/>
          <w:lang w:eastAsia="en-US"/>
        </w:rPr>
      </w:pPr>
      <w:r>
        <w:rPr>
          <w:rFonts w:eastAsia="Calibri"/>
          <w:sz w:val="28"/>
          <w:szCs w:val="28"/>
          <w:lang w:eastAsia="en-US"/>
        </w:rPr>
        <w:t xml:space="preserve">- организации  и  проведения  проверок  выполнения  юридическими лицами, индивидуальными предпринимателями и гражданами РФ обязательных требований в области охраны окружающей среды; </w:t>
      </w:r>
    </w:p>
    <w:p>
      <w:pPr>
        <w:pStyle w:val="Normal"/>
        <w:spacing w:before="0" w:after="0"/>
        <w:ind w:firstLine="851"/>
        <w:contextualSpacing/>
        <w:jc w:val="both"/>
        <w:rPr>
          <w:rFonts w:eastAsia="Calibri"/>
          <w:lang w:eastAsia="en-US"/>
        </w:rPr>
      </w:pPr>
      <w:r>
        <w:rPr>
          <w:rFonts w:eastAsia="Calibri"/>
          <w:sz w:val="28"/>
          <w:szCs w:val="28"/>
          <w:lang w:eastAsia="en-US"/>
        </w:rPr>
        <w:t>-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w:t>
      </w:r>
    </w:p>
    <w:p>
      <w:pPr>
        <w:pStyle w:val="Normal"/>
        <w:spacing w:before="0" w:after="0"/>
        <w:ind w:firstLine="851"/>
        <w:contextualSpacing/>
        <w:jc w:val="both"/>
        <w:rPr>
          <w:rFonts w:eastAsia="Calibri"/>
          <w:lang w:eastAsia="en-US"/>
        </w:rPr>
      </w:pPr>
      <w:r>
        <w:rPr>
          <w:rFonts w:eastAsia="Calibri"/>
          <w:sz w:val="28"/>
          <w:szCs w:val="28"/>
          <w:lang w:eastAsia="en-US"/>
        </w:rPr>
        <w:t>- организации и проведения  мероприятий  по  профилактике рисков причинения вреда (ущерба) охраняемым законом ценностям;</w:t>
      </w:r>
    </w:p>
    <w:p>
      <w:pPr>
        <w:pStyle w:val="Normal"/>
        <w:spacing w:before="0" w:after="0"/>
        <w:ind w:firstLine="851"/>
        <w:contextualSpacing/>
        <w:jc w:val="both"/>
        <w:rPr>
          <w:rFonts w:eastAsia="Calibri"/>
          <w:lang w:eastAsia="en-US"/>
        </w:rPr>
      </w:pPr>
      <w:r>
        <w:rPr>
          <w:rFonts w:eastAsia="Calibri"/>
          <w:sz w:val="28"/>
          <w:szCs w:val="28"/>
          <w:lang w:eastAsia="en-US"/>
        </w:rPr>
        <w:t>- организации и проведения мероприятий по контролю, осуществляемых без взаимодействия с юридическими лицами, индивидуальными предпринимателями.</w:t>
      </w:r>
    </w:p>
    <w:p>
      <w:pPr>
        <w:pStyle w:val="Normal"/>
        <w:widowControl w:val="false"/>
        <w:ind w:firstLine="709"/>
        <w:jc w:val="both"/>
        <w:rPr/>
      </w:pPr>
      <w:r>
        <w:rPr>
          <w:sz w:val="28"/>
          <w:szCs w:val="28"/>
        </w:rPr>
        <w:t xml:space="preserve"> </w:t>
      </w:r>
      <w:r>
        <w:rPr>
          <w:rFonts w:eastAsia="Calibri"/>
          <w:sz w:val="28"/>
          <w:szCs w:val="28"/>
        </w:rPr>
        <w:t>Су</w:t>
      </w:r>
      <w:r>
        <w:rPr>
          <w:sz w:val="28"/>
          <w:szCs w:val="28"/>
        </w:rPr>
        <w:t>бъектами государственного (контроля) надзора являются как юридические лица, индивидуальные предприниматели, осуществляющие хозяйственную и иную деятельность, так и граждане Российской Федерации и органы государственной власти, органы местного самоуправления, однако основное внимание уделено именно соблюдению требований природоохранного законодательства юридическими лицами и индивидуальными предпринимателями при эксплуатации ими конкретных объектов.</w:t>
      </w:r>
    </w:p>
    <w:p>
      <w:pPr>
        <w:pStyle w:val="Normal"/>
        <w:widowControl w:val="false"/>
        <w:ind w:firstLine="709"/>
        <w:jc w:val="both"/>
        <w:rPr/>
      </w:pPr>
      <w:r>
        <w:rPr>
          <w:sz w:val="28"/>
          <w:szCs w:val="28"/>
        </w:rPr>
        <w:t>Нормативными правовыми актами, непосредственно регулирующими исполнение указанной функции, являются:</w:t>
      </w:r>
    </w:p>
    <w:p>
      <w:pPr>
        <w:pStyle w:val="Normal"/>
        <w:widowControl w:val="false"/>
        <w:ind w:firstLine="709"/>
        <w:jc w:val="both"/>
        <w:rPr/>
      </w:pPr>
      <w:hyperlink r:id="rId4" w:tgtFrame="consultantplus://offline/ref=35D5E16C2385AA33BDDCCC68C7DD9627026F8608BB3CF70433A171wFV0L">
        <w:r>
          <w:rPr>
            <w:sz w:val="28"/>
            <w:szCs w:val="28"/>
          </w:rPr>
          <w:t>Конституция</w:t>
        </w:r>
      </w:hyperlink>
      <w:r>
        <w:rPr>
          <w:sz w:val="28"/>
          <w:szCs w:val="28"/>
        </w:rPr>
        <w:t xml:space="preserve"> Российской Федерации ("Российская газета", 1993, N 237);</w:t>
      </w:r>
    </w:p>
    <w:p>
      <w:pPr>
        <w:pStyle w:val="Normal"/>
        <w:widowControl w:val="false"/>
        <w:ind w:firstLine="709"/>
        <w:jc w:val="both"/>
        <w:rPr/>
      </w:pPr>
      <w:hyperlink r:id="rId5" w:tgtFrame="consultantplus://offline/ref=35D5E16C2385AA33BDDCCC68C7DD962702678905B26CA00662F47FF5E6w2V8L">
        <w:r>
          <w:rPr>
            <w:sz w:val="28"/>
            <w:szCs w:val="28"/>
          </w:rPr>
          <w:t>Кодекс</w:t>
        </w:r>
      </w:hyperlink>
      <w:r>
        <w:rPr>
          <w:sz w:val="28"/>
          <w:szCs w:val="28"/>
        </w:rPr>
        <w:t xml:space="preserve"> Российской Федерации об административных правонарушениях от 30.12.2001 N 195-ФЗ (Собрание законодательства Российской Федерации, 2002, N 1, ст. 1);</w:t>
      </w:r>
    </w:p>
    <w:p>
      <w:pPr>
        <w:pStyle w:val="Normal"/>
        <w:widowControl w:val="false"/>
        <w:ind w:firstLine="709"/>
        <w:jc w:val="both"/>
        <w:rPr/>
      </w:pPr>
      <w:r>
        <w:rPr>
          <w:sz w:val="28"/>
          <w:szCs w:val="28"/>
        </w:rPr>
        <w:t xml:space="preserve">Арбитражный процессуальный </w:t>
      </w:r>
      <w:hyperlink r:id="rId6" w:tgtFrame="consultantplus://offline/ref=35D5E16C2385AA33BDDCCC68C7DD96270267810FB169A00662F47FF5E6w2V8L">
        <w:r>
          <w:rPr>
            <w:sz w:val="28"/>
            <w:szCs w:val="28"/>
          </w:rPr>
          <w:t>кодекс</w:t>
        </w:r>
      </w:hyperlink>
      <w:r>
        <w:rPr>
          <w:sz w:val="28"/>
          <w:szCs w:val="28"/>
        </w:rPr>
        <w:t xml:space="preserve"> Российской Федерации от 24.07.2002 N 95-ФЗ (Собрание законодательства Российской Федерации, 2002, N 30, ст. 3012);</w:t>
      </w:r>
    </w:p>
    <w:p>
      <w:pPr>
        <w:pStyle w:val="Normal"/>
        <w:widowControl w:val="false"/>
        <w:ind w:firstLine="709"/>
        <w:jc w:val="both"/>
        <w:rPr/>
      </w:pPr>
      <w:r>
        <w:rPr>
          <w:sz w:val="28"/>
          <w:szCs w:val="28"/>
        </w:rPr>
        <w:t xml:space="preserve">Гражданский процессуальный </w:t>
      </w:r>
      <w:hyperlink r:id="rId7" w:tgtFrame="consultantplus://offline/ref=35D5E16C2385AA33BDDCCC68C7DD96270267810DB763A00662F47FF5E6w2V8L">
        <w:r>
          <w:rPr>
            <w:sz w:val="28"/>
            <w:szCs w:val="28"/>
          </w:rPr>
          <w:t>кодекс</w:t>
        </w:r>
      </w:hyperlink>
      <w:r>
        <w:rPr>
          <w:sz w:val="28"/>
          <w:szCs w:val="28"/>
        </w:rPr>
        <w:t xml:space="preserve"> Российской Федерации от 14.11.2002 N 138-ФЗ (Собрание законодательства Российской Федерации, 18.11.2002, N 46, ст. 4532; "Парламентская газета", N 220 - 221, 20.11.2002, «Российская газета», N 220, 20.11.2002);</w:t>
      </w:r>
    </w:p>
    <w:p>
      <w:pPr>
        <w:pStyle w:val="Normal"/>
        <w:widowControl w:val="false"/>
        <w:ind w:firstLine="709"/>
        <w:jc w:val="both"/>
        <w:rPr/>
      </w:pPr>
      <w:r>
        <w:rPr>
          <w:sz w:val="28"/>
          <w:szCs w:val="28"/>
        </w:rPr>
        <w:t xml:space="preserve">Водный </w:t>
      </w:r>
      <w:hyperlink r:id="rId8" w:tgtFrame="consultantplus://offline/ref=35D5E16C2385AA33BDDCCC68C7DD962702678905B26CA00662F47FF5E6w2V8L">
        <w:r>
          <w:rPr>
            <w:sz w:val="28"/>
            <w:szCs w:val="28"/>
          </w:rPr>
          <w:t>Кодекс</w:t>
        </w:r>
      </w:hyperlink>
      <w:r>
        <w:rPr>
          <w:sz w:val="28"/>
          <w:szCs w:val="28"/>
        </w:rPr>
        <w:t xml:space="preserve"> Российской Федерации  от 03.06.2006 N 74-ФЗ;</w:t>
      </w:r>
    </w:p>
    <w:p>
      <w:pPr>
        <w:pStyle w:val="Normal"/>
        <w:widowControl w:val="false"/>
        <w:ind w:firstLine="709"/>
        <w:jc w:val="both"/>
        <w:rPr/>
      </w:pPr>
      <w:r>
        <w:rPr>
          <w:sz w:val="28"/>
          <w:szCs w:val="28"/>
        </w:rPr>
        <w:t xml:space="preserve">Федеральный </w:t>
      </w:r>
      <w:hyperlink r:id="rId9" w:tgtFrame="consultantplus://offline/ref=35D5E16C2385AA33BDDCCC68C7DD96270267800CB56BA00662F47FF5E6w2V8L">
        <w:r>
          <w:rPr>
            <w:sz w:val="28"/>
            <w:szCs w:val="28"/>
          </w:rPr>
          <w:t>закон</w:t>
        </w:r>
      </w:hyperlink>
      <w:r>
        <w:rPr>
          <w:sz w:val="28"/>
          <w:szCs w:val="28"/>
        </w:rPr>
        <w:t xml:space="preserve"> от 10.01.2002 N 7-ФЗ «Об охране окружающей среды» (Собрание законодательства Российской Федерации, 2002, N 2, ст. 133);</w:t>
      </w:r>
    </w:p>
    <w:p>
      <w:pPr>
        <w:pStyle w:val="Normal"/>
        <w:ind w:firstLine="709"/>
        <w:jc w:val="both"/>
        <w:rPr>
          <w:rFonts w:eastAsia="Calibri"/>
        </w:rPr>
      </w:pPr>
      <w:r>
        <w:rPr>
          <w:sz w:val="28"/>
          <w:szCs w:val="28"/>
        </w:rPr>
        <w:t xml:space="preserve"> </w:t>
      </w:r>
      <w:r>
        <w:rPr>
          <w:sz w:val="28"/>
          <w:szCs w:val="28"/>
        </w:rPr>
        <w:t>Федеральный  закон от 31.07.2020 № 248-ФЗ « О государственном  контроле (надзоре) и муниципальном контроле в Российской Федерации»</w:t>
      </w:r>
      <w:r>
        <w:rPr>
          <w:rFonts w:eastAsia="Calibri"/>
          <w:sz w:val="28"/>
          <w:szCs w:val="28"/>
        </w:rPr>
        <w:t xml:space="preserve"> (Официальный интернет-портал правовой информации http://pravo.gov.ru, 31.07.2020);</w:t>
      </w:r>
    </w:p>
    <w:p>
      <w:pPr>
        <w:pStyle w:val="Normal"/>
        <w:widowControl w:val="false"/>
        <w:ind w:firstLine="709"/>
        <w:jc w:val="both"/>
        <w:rPr/>
      </w:pPr>
      <w:r>
        <w:rPr>
          <w:sz w:val="28"/>
          <w:szCs w:val="28"/>
        </w:rPr>
        <w:t xml:space="preserve">Федеральный </w:t>
      </w:r>
      <w:hyperlink r:id="rId10" w:tgtFrame="consultantplus://offline/ref=35D5E16C2385AA33BDDCCC68C7DD9627016F890EB562A00662F47FF5E62858D3E663B2D34BF922FDwCV6L">
        <w:r>
          <w:rPr>
            <w:sz w:val="28"/>
            <w:szCs w:val="28"/>
          </w:rPr>
          <w:t>закон</w:t>
        </w:r>
      </w:hyperlink>
      <w:r>
        <w:rPr>
          <w:sz w:val="28"/>
          <w:szCs w:val="28"/>
        </w:rPr>
        <w:t xml:space="preserve"> от 02.05.2006 N 59-ФЗ «О порядке рассмотрения обращений граждан Российской Федерации» (Собрание законодательства Российской Федерации, 2006, N 19, ст. 2060);</w:t>
      </w:r>
    </w:p>
    <w:p>
      <w:pPr>
        <w:pStyle w:val="Normal"/>
        <w:ind w:firstLine="709"/>
        <w:jc w:val="both"/>
        <w:rPr/>
      </w:pPr>
      <w:hyperlink r:id="rId11" w:tgtFrame="consultantplus://offline/ref=35D5E16C2385AA33BDDCCC68C7DD962702678009B068A00662F47FF5E6w2V8L">
        <w:r>
          <w:rPr>
            <w:sz w:val="28"/>
            <w:szCs w:val="28"/>
          </w:rPr>
          <w:t>Закон</w:t>
        </w:r>
      </w:hyperlink>
      <w:r>
        <w:rPr>
          <w:sz w:val="28"/>
          <w:szCs w:val="28"/>
        </w:rPr>
        <w:t xml:space="preserve"> Российской Федерации от 04.05.1999 N 96-ФЗ «Об охране атмосферного воздуха»;</w:t>
      </w:r>
    </w:p>
    <w:p>
      <w:pPr>
        <w:pStyle w:val="Normal"/>
        <w:ind w:firstLine="709"/>
        <w:jc w:val="both"/>
        <w:rPr/>
      </w:pPr>
      <w:hyperlink r:id="rId12" w:tgtFrame="consultantplus://offline/ref=35D5E16C2385AA33BDDCCC68C7DD962702678009B068A00662F47FF5E6w2V8L">
        <w:r>
          <w:rPr>
            <w:sz w:val="28"/>
            <w:szCs w:val="28"/>
          </w:rPr>
          <w:t>Закон</w:t>
        </w:r>
      </w:hyperlink>
      <w:r>
        <w:rPr>
          <w:sz w:val="28"/>
          <w:szCs w:val="28"/>
        </w:rPr>
        <w:t xml:space="preserve"> Российской Федерации от 24.06.1998 N 89-ФЗ «Об отходах производства и потребления»;</w:t>
      </w:r>
    </w:p>
    <w:p>
      <w:pPr>
        <w:pStyle w:val="Normal"/>
        <w:widowControl w:val="false"/>
        <w:ind w:firstLine="709"/>
        <w:jc w:val="both"/>
        <w:rPr/>
      </w:pPr>
      <w:hyperlink r:id="rId13" w:tgtFrame="consultantplus://offline/ref=35D5E16C2385AA33BDDCD265D1B1CA2F066CDF00B86BA35137AB24A8B1215284A12CEB910FF423FAC65C8Cw8VFL">
        <w:r>
          <w:rPr>
            <w:sz w:val="28"/>
            <w:szCs w:val="28"/>
          </w:rPr>
          <w:t>Закон</w:t>
        </w:r>
      </w:hyperlink>
      <w:r>
        <w:rPr>
          <w:sz w:val="28"/>
          <w:szCs w:val="28"/>
        </w:rPr>
        <w:t xml:space="preserve"> Самарской области от 06.04.2009 N 46-ГД «Об охране окружающей среды и природопользовании в Самарской области» («Волжская коммуна», 2009 N 131 (26590);</w:t>
      </w:r>
    </w:p>
    <w:p>
      <w:pPr>
        <w:pStyle w:val="Normal"/>
        <w:widowControl w:val="false"/>
        <w:ind w:firstLine="708"/>
        <w:jc w:val="both"/>
        <w:rPr>
          <w:color w:val="FF0000"/>
        </w:rPr>
      </w:pPr>
      <w:r>
        <w:rPr>
          <w:sz w:val="28"/>
          <w:szCs w:val="28"/>
        </w:rPr>
        <w:t>Закон Самарской области от 06. 04. 2010 № 36 – ГД «О наделении органов  местного  самоуправления отдельными государственными полномочиями в сфере охраны окружающей среды»;</w:t>
      </w:r>
    </w:p>
    <w:p>
      <w:pPr>
        <w:pStyle w:val="Normal"/>
        <w:widowControl w:val="false"/>
        <w:ind w:firstLine="708"/>
        <w:jc w:val="both"/>
        <w:rPr/>
      </w:pPr>
      <w:r>
        <w:rPr>
          <w:sz w:val="28"/>
          <w:szCs w:val="28"/>
        </w:rPr>
        <w:t>иные нормативные правовые акты Российской Федерации, Самарской области и органов местного самоуправления  м. р. Алексеевский Самарской области.</w:t>
      </w:r>
    </w:p>
    <w:p>
      <w:pPr>
        <w:pStyle w:val="Normal"/>
        <w:spacing w:before="0" w:after="0"/>
        <w:ind w:firstLine="708"/>
        <w:contextualSpacing/>
        <w:jc w:val="both"/>
        <w:rPr>
          <w:rFonts w:eastAsia="Calibri"/>
          <w:color w:val="000000"/>
          <w:lang w:eastAsia="en-US"/>
        </w:rPr>
      </w:pPr>
      <w:r>
        <w:rPr>
          <w:rFonts w:eastAsia="Calibri"/>
          <w:color w:val="000000" w:themeColor="text1"/>
          <w:sz w:val="28"/>
          <w:szCs w:val="28"/>
          <w:lang w:eastAsia="en-US"/>
        </w:rPr>
        <w:t xml:space="preserve">В целях профилактики нарушений обязательных требований законодательства в области охраны окружающей среды на официальном сайте Администрации муниципального района Алексеевский Самарской области (далее - Администрация) в информационно - телекоммуникационной сети интернет (далее - официальный сайт) https://alexadm63.ru размещены  </w:t>
      </w:r>
      <w:r>
        <w:rPr>
          <w:rFonts w:ascii="Arial" w:hAnsi="Arial"/>
          <w:color w:val="000000" w:themeColor="text1"/>
          <w:sz w:val="16"/>
          <w:szCs w:val="20"/>
        </w:rPr>
        <w:t xml:space="preserve"> </w:t>
      </w:r>
      <w:r>
        <w:rPr>
          <w:rFonts w:eastAsia="Calibri"/>
          <w:color w:val="000000" w:themeColor="text1"/>
          <w:sz w:val="28"/>
          <w:szCs w:val="28"/>
          <w:lang w:eastAsia="en-US"/>
        </w:rPr>
        <w:t>перечни обязательных требований, оценка которых является предметом регионального государственного экологического контроля (надзора) и оценивается при проведении мероприятий по контролю.</w:t>
      </w:r>
    </w:p>
    <w:p>
      <w:pPr>
        <w:pStyle w:val="Normal"/>
        <w:spacing w:before="0" w:after="0"/>
        <w:ind w:firstLine="851"/>
        <w:contextualSpacing/>
        <w:jc w:val="both"/>
        <w:rPr>
          <w:rFonts w:eastAsia="Calibri"/>
          <w:lang w:eastAsia="en-US"/>
        </w:rPr>
      </w:pPr>
      <w:r>
        <w:rPr>
          <w:rFonts w:eastAsia="Calibri"/>
          <w:sz w:val="28"/>
          <w:szCs w:val="28"/>
          <w:lang w:eastAsia="en-US"/>
        </w:rPr>
        <w:t>По всем поступающим от хозяйствующих субъектов вопросам в части осуществления в их отношении контрольно-надзорных мероприятий должностными лицами даются компетентные разъяснения и консультации.</w:t>
      </w:r>
    </w:p>
    <w:p>
      <w:pPr>
        <w:pStyle w:val="Normal"/>
        <w:spacing w:before="0" w:after="0"/>
        <w:ind w:firstLine="851"/>
        <w:contextualSpacing/>
        <w:jc w:val="both"/>
        <w:rPr>
          <w:rFonts w:eastAsia="Calibri"/>
          <w:lang w:eastAsia="en-US"/>
        </w:rPr>
      </w:pPr>
      <w:r>
        <w:rPr>
          <w:rFonts w:eastAsia="Calibri"/>
          <w:sz w:val="28"/>
          <w:szCs w:val="28"/>
          <w:lang w:eastAsia="en-US"/>
        </w:rPr>
        <w:t>В целях осуществления экологического просвещения, стимулирования и популяризации общественного контроля ведется работа по информированию граждан, в том числе:</w:t>
      </w:r>
    </w:p>
    <w:p>
      <w:pPr>
        <w:pStyle w:val="Normal"/>
        <w:spacing w:before="0" w:after="0"/>
        <w:ind w:firstLine="851"/>
        <w:contextualSpacing/>
        <w:jc w:val="both"/>
        <w:rPr>
          <w:rFonts w:eastAsia="Calibri"/>
          <w:lang w:eastAsia="en-US"/>
        </w:rPr>
      </w:pPr>
      <w:r>
        <w:rPr>
          <w:rFonts w:eastAsia="Calibri"/>
          <w:sz w:val="28"/>
          <w:szCs w:val="28"/>
          <w:lang w:eastAsia="en-US"/>
        </w:rPr>
        <w:t>- через официальный портал Администрации муниципального района Алексеевский, средства массовой информации, подведомственные учреждения и иных хозяйствующих субъектов;</w:t>
      </w:r>
    </w:p>
    <w:p>
      <w:pPr>
        <w:pStyle w:val="Normal"/>
        <w:spacing w:before="0" w:after="0"/>
        <w:ind w:firstLine="851"/>
        <w:contextualSpacing/>
        <w:jc w:val="both"/>
        <w:rPr>
          <w:rFonts w:eastAsia="Calibri"/>
          <w:lang w:eastAsia="en-US"/>
        </w:rPr>
      </w:pPr>
      <w:r>
        <w:rPr>
          <w:rFonts w:eastAsia="Calibri"/>
          <w:sz w:val="28"/>
          <w:szCs w:val="28"/>
          <w:lang w:eastAsia="en-US"/>
        </w:rPr>
        <w:t>- ежегодно изготавливаются и распространяются среди организаций и населения муниципального района Алексеевский информационные буклеты, календари на экологическую тематику.</w:t>
      </w:r>
    </w:p>
    <w:p>
      <w:pPr>
        <w:pStyle w:val="Normal"/>
        <w:spacing w:before="0" w:after="0"/>
        <w:ind w:firstLine="851"/>
        <w:contextualSpacing/>
        <w:jc w:val="both"/>
        <w:rPr>
          <w:rFonts w:eastAsia="Calibri"/>
          <w:lang w:eastAsia="en-US"/>
        </w:rPr>
      </w:pPr>
      <w:r>
        <w:rPr>
          <w:rFonts w:eastAsia="Calibri"/>
          <w:sz w:val="28"/>
          <w:szCs w:val="28"/>
          <w:lang w:eastAsia="en-US"/>
        </w:rPr>
        <w:t>Отделом по экологии  проводятся семинары с индивидуальными предпринимателями и юридическими лицами по профилактике нарушений обязательных требований природоохранного законодательства. Информирование индивидуальных предпринимателей и юридических лиц проводится через официальное опубликование в газете «Степная Правда» и на официальном сайте.</w:t>
      </w:r>
    </w:p>
    <w:p>
      <w:pPr>
        <w:pStyle w:val="Normal"/>
        <w:widowControl w:val="false"/>
        <w:rPr/>
      </w:pPr>
      <w:r>
        <w:rPr/>
      </w:r>
    </w:p>
    <w:p>
      <w:pPr>
        <w:pStyle w:val="Normal"/>
        <w:widowControl w:val="false"/>
        <w:jc w:val="center"/>
        <w:rPr/>
      </w:pPr>
      <w:r>
        <w:rPr>
          <w:b/>
          <w:sz w:val="28"/>
          <w:szCs w:val="28"/>
        </w:rPr>
        <w:t>Раздел 2. Цели и задачи реализации Программы профилактики.</w:t>
      </w:r>
    </w:p>
    <w:p>
      <w:pPr>
        <w:pStyle w:val="Normal"/>
        <w:widowControl w:val="false"/>
        <w:jc w:val="center"/>
        <w:rPr/>
      </w:pPr>
      <w:r>
        <w:rPr/>
      </w:r>
    </w:p>
    <w:p>
      <w:pPr>
        <w:pStyle w:val="Normal"/>
        <w:ind w:firstLine="851"/>
        <w:jc w:val="both"/>
        <w:rPr>
          <w:rFonts w:eastAsia="+mn-ea"/>
        </w:rPr>
      </w:pPr>
      <w:r>
        <w:rPr>
          <w:rFonts w:eastAsia="+mn-ea"/>
          <w:bCs/>
          <w:sz w:val="28"/>
          <w:szCs w:val="28"/>
        </w:rPr>
        <w:t>Цели профилактической работы:</w:t>
      </w:r>
    </w:p>
    <w:p>
      <w:pPr>
        <w:pStyle w:val="Normal"/>
        <w:ind w:firstLine="851"/>
        <w:jc w:val="both"/>
        <w:rPr>
          <w:rFonts w:eastAsia="+mn-ea"/>
        </w:rPr>
      </w:pPr>
      <w:r>
        <w:rPr>
          <w:rFonts w:eastAsia="+mn-ea"/>
          <w:bCs/>
          <w:sz w:val="28"/>
          <w:szCs w:val="28"/>
        </w:rPr>
        <w:t>- предупреждение нарушений субъектами, в отношении которых осуществляется региональный, государственный экологический контроль (надзор);</w:t>
      </w:r>
    </w:p>
    <w:p>
      <w:pPr>
        <w:pStyle w:val="Normal"/>
        <w:spacing w:before="0" w:after="0"/>
        <w:ind w:firstLine="709"/>
        <w:contextualSpacing/>
        <w:jc w:val="both"/>
        <w:rPr>
          <w:rFonts w:eastAsia="Calibri"/>
          <w:lang w:eastAsia="en-US"/>
        </w:rPr>
      </w:pPr>
      <w:r>
        <w:rPr>
          <w:rFonts w:eastAsia="Calibri"/>
          <w:sz w:val="28"/>
          <w:szCs w:val="28"/>
          <w:lang w:eastAsia="en-US"/>
        </w:rPr>
        <w:t>- сокращение количества нарушений юридическими лицами и индивидуальными предпринимателями (далее – субъекты профилактики) обязательных требований в области охраны окружающей среды на территории муниципального района Алексеевский;</w:t>
      </w:r>
    </w:p>
    <w:p>
      <w:pPr>
        <w:pStyle w:val="Normal"/>
        <w:spacing w:before="0" w:after="0"/>
        <w:ind w:firstLine="709"/>
        <w:contextualSpacing/>
        <w:jc w:val="both"/>
        <w:rPr>
          <w:rFonts w:eastAsia="Calibri"/>
          <w:lang w:eastAsia="en-US"/>
        </w:rPr>
      </w:pPr>
      <w:r>
        <w:rPr>
          <w:rFonts w:eastAsia="Calibri"/>
          <w:sz w:val="28"/>
          <w:szCs w:val="28"/>
          <w:lang w:eastAsia="en-US"/>
        </w:rPr>
        <w:t>- обеспечение доступности информации об обязательных требованиях в области охраны окружающей среды;</w:t>
      </w:r>
    </w:p>
    <w:p>
      <w:pPr>
        <w:pStyle w:val="Normal"/>
        <w:spacing w:before="0" w:after="0"/>
        <w:ind w:firstLine="709"/>
        <w:contextualSpacing/>
        <w:jc w:val="both"/>
        <w:rPr>
          <w:rFonts w:eastAsia="Calibri"/>
          <w:lang w:eastAsia="en-US"/>
        </w:rPr>
      </w:pPr>
      <w:r>
        <w:rPr>
          <w:rFonts w:eastAsia="Calibri"/>
          <w:sz w:val="28"/>
          <w:szCs w:val="28"/>
          <w:lang w:eastAsia="en-US"/>
        </w:rPr>
        <w:t>- устранение условий, причин и факторов, способных привести к нарушениям обязательных требований и (или) причинению вреда  окружающей среде.</w:t>
      </w:r>
    </w:p>
    <w:p>
      <w:pPr>
        <w:pStyle w:val="Normal"/>
        <w:ind w:firstLine="851"/>
        <w:jc w:val="both"/>
        <w:rPr>
          <w:rFonts w:eastAsia="+mn-ea"/>
        </w:rPr>
      </w:pPr>
      <w:r>
        <w:rPr>
          <w:rFonts w:eastAsia="+mn-ea"/>
          <w:bCs/>
          <w:sz w:val="28"/>
          <w:szCs w:val="28"/>
        </w:rPr>
        <w:t>Проведение профилактических мероприятий позволит решить следующие задачи:</w:t>
      </w:r>
    </w:p>
    <w:p>
      <w:pPr>
        <w:pStyle w:val="Normal"/>
        <w:ind w:firstLine="709"/>
        <w:jc w:val="both"/>
        <w:rPr>
          <w:rFonts w:eastAsia="Calibri"/>
        </w:rPr>
      </w:pPr>
      <w:r>
        <w:rPr>
          <w:rFonts w:eastAsia="Calibri"/>
          <w:sz w:val="28"/>
          <w:szCs w:val="28"/>
          <w:lang w:eastAsia="en-US"/>
        </w:rPr>
        <w:t xml:space="preserve">- </w:t>
      </w:r>
      <w:r>
        <w:rPr>
          <w:rFonts w:eastAsia="Calibri"/>
          <w:sz w:val="28"/>
          <w:szCs w:val="28"/>
        </w:rPr>
        <w:t>формирование единого понимания обязательных требований законодательства в области охраны окружающей среды у всех поднадзорных субъектов.</w:t>
      </w:r>
    </w:p>
    <w:p>
      <w:pPr>
        <w:pStyle w:val="Normal"/>
        <w:spacing w:before="0" w:after="0"/>
        <w:ind w:firstLine="709"/>
        <w:contextualSpacing/>
        <w:jc w:val="both"/>
        <w:rPr>
          <w:rFonts w:eastAsia="Calibri"/>
          <w:lang w:eastAsia="en-US"/>
        </w:rPr>
      </w:pPr>
      <w:r>
        <w:rPr>
          <w:rFonts w:eastAsia="Calibri"/>
          <w:sz w:val="28"/>
          <w:szCs w:val="28"/>
          <w:lang w:eastAsia="en-US"/>
        </w:rPr>
        <w:t>- повышение уровня правовой грамотности субъектов профилактики в области охраны окружающей среды;</w:t>
      </w:r>
    </w:p>
    <w:p>
      <w:pPr>
        <w:pStyle w:val="Normal"/>
        <w:spacing w:before="0" w:after="0"/>
        <w:ind w:firstLine="709"/>
        <w:contextualSpacing/>
        <w:jc w:val="both"/>
        <w:rPr>
          <w:rFonts w:eastAsia="Calibri"/>
          <w:lang w:eastAsia="en-US"/>
        </w:rPr>
      </w:pPr>
      <w:r>
        <w:rPr>
          <w:rFonts w:eastAsia="Calibri"/>
          <w:sz w:val="28"/>
          <w:szCs w:val="28"/>
          <w:lang w:eastAsia="en-US"/>
        </w:rPr>
        <w:t>- повышение прозрачности системы контрольно - надзорной деятельности;</w:t>
      </w:r>
    </w:p>
    <w:p>
      <w:pPr>
        <w:pStyle w:val="Normal"/>
        <w:spacing w:before="0" w:after="0"/>
        <w:ind w:firstLine="709"/>
        <w:contextualSpacing/>
        <w:jc w:val="both"/>
        <w:rPr>
          <w:rFonts w:eastAsia="Calibri"/>
          <w:lang w:eastAsia="en-US"/>
        </w:rPr>
      </w:pPr>
      <w:r>
        <w:rPr>
          <w:rFonts w:eastAsia="Calibri"/>
          <w:sz w:val="28"/>
          <w:szCs w:val="28"/>
          <w:lang w:eastAsia="en-US"/>
        </w:rPr>
        <w:t xml:space="preserve">- </w:t>
      </w:r>
      <w:r>
        <w:rPr>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r>
        <w:rPr>
          <w:rFonts w:eastAsia="Calibri"/>
          <w:sz w:val="28"/>
          <w:szCs w:val="28"/>
          <w:lang w:eastAsia="en-US"/>
        </w:rPr>
        <w:t xml:space="preserve">  </w:t>
      </w:r>
    </w:p>
    <w:p>
      <w:pPr>
        <w:pStyle w:val="Normal"/>
        <w:spacing w:before="0" w:after="0"/>
        <w:ind w:firstLine="851"/>
        <w:contextualSpacing/>
        <w:jc w:val="both"/>
        <w:rPr>
          <w:rFonts w:eastAsia="Calibri"/>
          <w:lang w:eastAsia="en-US"/>
        </w:rPr>
      </w:pPr>
      <w:r>
        <w:rPr>
          <w:rFonts w:eastAsia="Calibri"/>
          <w:sz w:val="28"/>
          <w:szCs w:val="28"/>
          <w:lang w:eastAsia="en-US"/>
        </w:rPr>
        <w:t>Настоящая программа призвана обеспечить в 2024 году создание условий для снижения случаев нарушения в области охраны окружающей среды и природопользования, повышения результативности и эффективности надзора в области охраны окружающей среды, формирования заинтересованности подконтрольных субъектов в соблюдении природоохранных требований.</w:t>
      </w:r>
    </w:p>
    <w:p>
      <w:pPr>
        <w:pStyle w:val="Normal"/>
        <w:ind w:firstLine="851"/>
        <w:jc w:val="both"/>
        <w:rPr>
          <w:rFonts w:eastAsia="Calibri"/>
          <w:lang w:eastAsia="en-US"/>
        </w:rPr>
      </w:pPr>
      <w:r>
        <w:rPr>
          <w:rFonts w:eastAsia="Calibri"/>
          <w:sz w:val="28"/>
          <w:szCs w:val="28"/>
          <w:lang w:eastAsia="en-US"/>
        </w:rPr>
        <w:t xml:space="preserve"> </w:t>
      </w:r>
    </w:p>
    <w:p>
      <w:pPr>
        <w:pStyle w:val="Normal"/>
        <w:widowControl w:val="false"/>
        <w:jc w:val="center"/>
        <w:rPr>
          <w:b/>
          <w:b/>
          <w:sz w:val="28"/>
          <w:szCs w:val="28"/>
        </w:rPr>
      </w:pPr>
      <w:r>
        <w:rPr>
          <w:b/>
          <w:sz w:val="28"/>
          <w:szCs w:val="28"/>
        </w:rPr>
        <w:t xml:space="preserve">Раздел 3. Перечень профилактических мероприятий программы, сроки (периодичность) их проведения. </w:t>
      </w:r>
    </w:p>
    <w:p>
      <w:pPr>
        <w:pStyle w:val="Normal"/>
        <w:widowControl w:val="false"/>
        <w:jc w:val="center"/>
        <w:rPr>
          <w:b/>
          <w:b/>
          <w:sz w:val="28"/>
          <w:szCs w:val="28"/>
        </w:rPr>
      </w:pPr>
      <w:r>
        <w:rPr>
          <w:b/>
          <w:sz w:val="28"/>
          <w:szCs w:val="28"/>
        </w:rPr>
      </w:r>
    </w:p>
    <w:p>
      <w:pPr>
        <w:pStyle w:val="Normal"/>
        <w:spacing w:lineRule="auto" w:line="240" w:before="0" w:after="0"/>
        <w:jc w:val="center"/>
        <w:rPr>
          <w:rFonts w:ascii="Times New Roman" w:hAnsi="Times New Roman" w:cs="Times New Roman"/>
          <w:sz w:val="26"/>
          <w:szCs w:val="26"/>
        </w:rPr>
      </w:pPr>
      <w:r>
        <w:rPr>
          <w:rFonts w:cs="Times New Roman"/>
          <w:sz w:val="26"/>
          <w:szCs w:val="26"/>
        </w:rPr>
        <w:t>План мероприятий</w:t>
      </w:r>
    </w:p>
    <w:p>
      <w:pPr>
        <w:pStyle w:val="Normal"/>
        <w:spacing w:lineRule="auto" w:line="240" w:before="0" w:after="0"/>
        <w:jc w:val="center"/>
        <w:rPr/>
      </w:pPr>
      <w:r>
        <w:rPr>
          <w:rFonts w:cs="Times New Roman"/>
          <w:sz w:val="26"/>
          <w:szCs w:val="26"/>
        </w:rPr>
        <w:t xml:space="preserve">по профилактике рисков причинения вреда (ущерба) охраняемым законом ценностям (окружающей среде) Администрации </w:t>
      </w:r>
      <w:r>
        <w:rPr>
          <w:rFonts w:eastAsia="Times New Roman" w:cs="Times New Roman"/>
          <w:color w:val="auto"/>
          <w:sz w:val="26"/>
          <w:szCs w:val="26"/>
          <w:lang w:val="ru-RU" w:eastAsia="zh-CN" w:bidi="ar-SA"/>
        </w:rPr>
        <w:t>муниципального района Алексеевский Самарской области</w:t>
      </w:r>
      <w:r>
        <w:rPr>
          <w:rFonts w:cs="Times New Roman"/>
          <w:sz w:val="26"/>
          <w:szCs w:val="26"/>
        </w:rPr>
        <w:t xml:space="preserve"> в рамках осуществления отдельных переданных государственных полномочий в сфере охраны окружающей среды (региональный государственный экологический контроль (надзор) на 2024 год</w:t>
      </w:r>
    </w:p>
    <w:p>
      <w:pPr>
        <w:pStyle w:val="Normal"/>
        <w:spacing w:before="0" w:after="0"/>
        <w:jc w:val="center"/>
        <w:rPr>
          <w:rFonts w:ascii="Times New Roman" w:hAnsi="Times New Roman" w:cs="Times New Roman"/>
          <w:sz w:val="24"/>
          <w:szCs w:val="28"/>
        </w:rPr>
      </w:pPr>
      <w:r>
        <w:rPr>
          <w:rFonts w:cs="Times New Roman"/>
          <w:sz w:val="24"/>
          <w:szCs w:val="28"/>
        </w:rPr>
      </w:r>
    </w:p>
    <w:tbl>
      <w:tblPr>
        <w:tblW w:w="9752" w:type="dxa"/>
        <w:jc w:val="left"/>
        <w:tblInd w:w="-5" w:type="dxa"/>
        <w:tblLayout w:type="fixed"/>
        <w:tblCellMar>
          <w:top w:w="0" w:type="dxa"/>
          <w:left w:w="108" w:type="dxa"/>
          <w:bottom w:w="0" w:type="dxa"/>
          <w:right w:w="108" w:type="dxa"/>
        </w:tblCellMar>
        <w:tblLook w:noVBand="1" w:val="04a0" w:noHBand="0" w:lastColumn="0" w:firstColumn="1" w:lastRow="0" w:firstRow="1"/>
      </w:tblPr>
      <w:tblGrid>
        <w:gridCol w:w="625"/>
        <w:gridCol w:w="5046"/>
        <w:gridCol w:w="1528"/>
        <w:gridCol w:w="1473"/>
        <w:gridCol w:w="1080"/>
      </w:tblGrid>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 </w:t>
            </w:r>
            <w:r>
              <w:rPr>
                <w:rFonts w:eastAsia="Times New Roman" w:cs="Times New Roman"/>
                <w:sz w:val="20"/>
                <w:szCs w:val="20"/>
                <w:lang w:eastAsia="ru-RU"/>
              </w:rPr>
              <w:t>п/п</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Перечень мероприятий, направленных на профилактику нарушений обязательных требований</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Срок проведения мероприятий</w:t>
            </w:r>
          </w:p>
        </w:tc>
        <w:tc>
          <w:tcPr>
            <w:tcW w:w="1473" w:type="dxa"/>
            <w:tcBorders>
              <w:top w:val="single" w:sz="4" w:space="0" w:color="000000"/>
              <w:left w:val="single" w:sz="4" w:space="0" w:color="000000"/>
              <w:bottom w:val="single" w:sz="4" w:space="0" w:color="000000"/>
            </w:tcBorders>
          </w:tcPr>
          <w:p>
            <w:pPr>
              <w:pStyle w:val="Normal"/>
              <w:widowControl w:val="false"/>
              <w:spacing w:lineRule="auto" w:line="240" w:before="0" w:after="0"/>
              <w:ind w:left="-170" w:right="0" w:hanging="0"/>
              <w:jc w:val="center"/>
              <w:rPr>
                <w:sz w:val="20"/>
                <w:szCs w:val="20"/>
              </w:rPr>
            </w:pPr>
            <w:r>
              <w:rPr>
                <w:rFonts w:eastAsia="Times New Roman" w:cs="Times New Roman"/>
                <w:sz w:val="20"/>
                <w:szCs w:val="20"/>
                <w:lang w:eastAsia="ru-RU"/>
              </w:rPr>
              <w:t>Ответственный исполнитель</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Примечание (отметка об исполнении)</w:t>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1</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2</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3</w:t>
            </w:r>
          </w:p>
        </w:tc>
        <w:tc>
          <w:tcPr>
            <w:tcW w:w="1473" w:type="dxa"/>
            <w:tcBorders>
              <w:top w:val="single" w:sz="4" w:space="0" w:color="000000"/>
              <w:left w:val="single" w:sz="4" w:space="0" w:color="000000"/>
              <w:bottom w:val="single" w:sz="4" w:space="0" w:color="000000"/>
            </w:tcBorders>
          </w:tcPr>
          <w:p>
            <w:pPr>
              <w:pStyle w:val="Normal"/>
              <w:widowControl w:val="false"/>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4</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1.</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 xml:space="preserve">Размещение ежегодного плана проверок юридических лиц и индивидуальных предпринимателей на сайте </w:t>
            </w:r>
            <w:r>
              <w:rPr>
                <w:rFonts w:eastAsia="Times New Roman" w:cs="Times New Roman"/>
                <w:color w:val="auto"/>
                <w:sz w:val="20"/>
                <w:szCs w:val="20"/>
                <w:lang w:val="ru-RU" w:eastAsia="ru-RU" w:bidi="ar-SA"/>
              </w:rPr>
              <w:t>Администрации</w:t>
            </w:r>
            <w:r>
              <w:rPr>
                <w:rFonts w:eastAsia="Times New Roman" w:cs="Times New Roman"/>
                <w:sz w:val="20"/>
                <w:szCs w:val="20"/>
                <w:lang w:eastAsia="ru-RU"/>
              </w:rPr>
              <w:t xml:space="preserve"> в сети «Интернет».</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В течение 5 рабочих дней с момента утверждения</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sz w:val="20"/>
                <w:szCs w:val="20"/>
              </w:rPr>
            </w:pPr>
            <w:r>
              <w:rPr>
                <w:sz w:val="20"/>
                <w:szCs w:val="20"/>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64" w:leader="none"/>
                <w:tab w:val="center" w:pos="3238"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2.</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 xml:space="preserve">Размещение на сайте </w:t>
            </w:r>
            <w:r>
              <w:rPr>
                <w:rFonts w:eastAsia="Times New Roman" w:cs="Times New Roman"/>
                <w:color w:val="auto"/>
                <w:sz w:val="20"/>
                <w:szCs w:val="20"/>
                <w:lang w:val="ru-RU" w:eastAsia="ru-RU" w:bidi="ar-SA"/>
              </w:rPr>
              <w:t>Администрации</w:t>
            </w:r>
            <w:r>
              <w:rPr>
                <w:rFonts w:eastAsia="Times New Roman" w:cs="Times New Roman"/>
                <w:sz w:val="20"/>
                <w:szCs w:val="20"/>
                <w:lang w:eastAsia="ru-RU"/>
              </w:rPr>
              <w:t xml:space="preserve"> в сети «Интернет» перечня общих требований в части исполнения природоохранного законодательства.</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ежегодно до 01.03.</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05" w:leader="none"/>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rHeight w:val="2555" w:hRule="atLeast"/>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3.</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jc w:val="both"/>
              <w:rPr>
                <w:sz w:val="20"/>
                <w:szCs w:val="20"/>
              </w:rPr>
            </w:pPr>
            <w:r>
              <w:rPr>
                <w:rFonts w:eastAsia="Times New Roman" w:cs="Times New Roman"/>
                <w:sz w:val="20"/>
                <w:szCs w:val="20"/>
                <w:lang w:eastAsia="ru-RU"/>
              </w:rPr>
              <w:t>Актуализация для каждого вида надзора перечня нормативных правовых актов, содержащих обязательные требования, оценка соблюдения которых является предметом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ежегодно до 01.06.</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rHeight w:val="2561" w:hRule="atLeast"/>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4.</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jc w:val="both"/>
              <w:rPr>
                <w:sz w:val="20"/>
                <w:szCs w:val="20"/>
              </w:rPr>
            </w:pPr>
            <w:r>
              <w:rPr>
                <w:rFonts w:eastAsia="Times New Roman" w:cs="Times New Roman"/>
                <w:sz w:val="20"/>
                <w:szCs w:val="20"/>
                <w:lang w:eastAsia="ru-RU"/>
              </w:rPr>
              <w:t>Размещение на официальном сайте Администрации в сети «Интернет» актуализированного перечня нормативных правовых актов, содержащего обязательные требования, оценка соблюдения которых является предметом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ежегодно до 06.06.</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5" w:leader="none"/>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5.</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Подготовка текстов нормативных правовых актов, содержащих обязательные требования, оценка соблюдения которых является предметом  надзора.</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ежегодно до 01.07.</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b w:val="false"/>
                <w:b w:val="false"/>
                <w:bCs w:val="false"/>
                <w:sz w:val="20"/>
                <w:szCs w:val="20"/>
                <w:lang w:eastAsia="ru-RU"/>
              </w:rPr>
            </w:pPr>
            <w:r>
              <w:rPr>
                <w:rFonts w:eastAsia="Times New Roman" w:cs="Times New Roman"/>
                <w:b w:val="false"/>
                <w:bCs w:val="false"/>
                <w:sz w:val="20"/>
                <w:szCs w:val="20"/>
                <w:lang w:eastAsia="ru-RU"/>
              </w:rPr>
              <w:t xml:space="preserve">Должностные лица </w:t>
            </w:r>
            <w:r>
              <w:rPr>
                <w:rFonts w:eastAsia="Times New Roman" w:cs="Times New Roman"/>
                <w:b w:val="false"/>
                <w:bCs w:val="false"/>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05" w:leader="none"/>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rHeight w:val="1313" w:hRule="atLeast"/>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6.</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Размещение на официальном сайте Администрации в сети «Интернет» текстов нормативных правовых актов, содержащих обязательные требования, оценка соблюдения которых является предметом надзора.</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auto"/>
                <w:lang w:val="ru-RU" w:eastAsia="zh-CN" w:bidi="ar-SA"/>
              </w:rPr>
            </w:pPr>
            <w:r>
              <w:rPr>
                <w:rFonts w:eastAsia="Times New Roman" w:cs="Times New Roman"/>
                <w:sz w:val="20"/>
                <w:szCs w:val="20"/>
                <w:lang w:eastAsia="ru-RU"/>
              </w:rPr>
              <w:t>ежегодно до 06.07.</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b w:val="false"/>
                <w:b w:val="false"/>
                <w:bCs w:val="false"/>
                <w:sz w:val="20"/>
                <w:szCs w:val="20"/>
                <w:lang w:eastAsia="ru-RU"/>
              </w:rPr>
            </w:pPr>
            <w:r>
              <w:rPr>
                <w:rFonts w:eastAsia="Times New Roman" w:cs="Times New Roman"/>
                <w:b w:val="false"/>
                <w:bCs w:val="false"/>
                <w:sz w:val="20"/>
                <w:szCs w:val="20"/>
                <w:lang w:eastAsia="ru-RU"/>
              </w:rPr>
              <w:t xml:space="preserve">Должностные лица </w:t>
            </w:r>
            <w:r>
              <w:rPr>
                <w:rFonts w:eastAsia="Times New Roman" w:cs="Times New Roman"/>
                <w:b w:val="false"/>
                <w:bCs w:val="false"/>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rHeight w:val="1549" w:hRule="atLeast"/>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7.</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Подготовка официальных разъяснений требований природоохранного законодательства, в том числе, комментарии о содержании новых нормативных правовых актов, устанавливающих обязательные требования, о внесенных изменениях в действующие акты, сроках и порядке вступления их в действие.</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постоянно</w:t>
            </w:r>
          </w:p>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(в случае изменения законодательства)</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rHeight w:val="1833" w:hRule="atLeast"/>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8.</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Размещение на официальном сайте Администрации в сети «Интернет» разъяснений требований природоохранного законодательства, в том числе, комментарии о содержании новых нормативных правовых актов, устанавливающих обязательные требования, о внесенных изменениях  в действующие акты, сроках и порядке вступления их в действие.</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постоянно</w:t>
            </w:r>
          </w:p>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(в случае изменения законодательства)</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05" w:leader="none"/>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rHeight w:val="1266" w:hRule="atLeast"/>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9.</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 xml:space="preserve">Оказание содействия в предоставлении информации </w:t>
            </w:r>
            <w:r>
              <w:rPr>
                <w:rFonts w:eastAsia="MS Mincho;ＭＳ 明朝" w:cs="Times New Roman"/>
                <w:sz w:val="20"/>
                <w:szCs w:val="20"/>
                <w:lang w:eastAsia="ru-RU"/>
              </w:rPr>
              <w:t>юридическим лицам и индивидуальным предпринимателям по вопросам соблюдения природоохранного законодательства, относящимся к компетенции управления охраны окружающей среды.</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auto"/>
                <w:lang w:val="ru-RU" w:eastAsia="zh-CN" w:bidi="ar-SA"/>
              </w:rPr>
            </w:pPr>
            <w:r>
              <w:rPr>
                <w:rFonts w:eastAsia="Times New Roman" w:cs="Times New Roman"/>
                <w:sz w:val="20"/>
                <w:szCs w:val="20"/>
                <w:lang w:eastAsia="ru-RU"/>
              </w:rPr>
              <w:t>постоянно</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10.</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Организация горячей линии</w:t>
            </w:r>
            <w:r>
              <w:rPr>
                <w:rFonts w:eastAsia="MS Mincho;ＭＳ 明朝" w:cs="Times New Roman"/>
                <w:sz w:val="20"/>
                <w:szCs w:val="20"/>
                <w:lang w:eastAsia="ru-RU"/>
              </w:rPr>
              <w:t xml:space="preserve"> для юридических лиц и индивидуальных предпринимателей</w:t>
            </w:r>
            <w:r>
              <w:rPr>
                <w:rFonts w:eastAsia="Times New Roman" w:cs="Times New Roman"/>
                <w:sz w:val="20"/>
                <w:szCs w:val="20"/>
                <w:lang w:eastAsia="ru-RU"/>
              </w:rPr>
              <w:t xml:space="preserve"> по вопросам </w:t>
            </w:r>
            <w:r>
              <w:rPr>
                <w:rFonts w:eastAsia="MS Mincho;ＭＳ 明朝" w:cs="Times New Roman"/>
                <w:sz w:val="20"/>
                <w:szCs w:val="20"/>
                <w:lang w:eastAsia="ru-RU"/>
              </w:rPr>
              <w:t>соблюдения природоохранного законодательства, относящихся к компетенции отдела по экологии с периодичностью 1 раз в месяц.</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постоянно</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40" w:leader="none"/>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11.</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 xml:space="preserve">Размещение на официальном сайте Администрации в сети «Интернет» сведений о горячей линии </w:t>
            </w:r>
            <w:r>
              <w:rPr>
                <w:rFonts w:eastAsia="MS Mincho;ＭＳ 明朝" w:cs="Times New Roman"/>
                <w:sz w:val="20"/>
                <w:szCs w:val="20"/>
                <w:lang w:eastAsia="ru-RU"/>
              </w:rPr>
              <w:t>для юридических лиц и индивидуальных предпринимателей</w:t>
            </w:r>
            <w:r>
              <w:rPr>
                <w:rFonts w:eastAsia="Times New Roman" w:cs="Times New Roman"/>
                <w:sz w:val="20"/>
                <w:szCs w:val="20"/>
                <w:lang w:eastAsia="ru-RU"/>
              </w:rPr>
              <w:t xml:space="preserve"> по вопросам </w:t>
            </w:r>
            <w:r>
              <w:rPr>
                <w:rFonts w:eastAsia="MS Mincho;ＭＳ 明朝" w:cs="Times New Roman"/>
                <w:sz w:val="20"/>
                <w:szCs w:val="20"/>
                <w:lang w:eastAsia="ru-RU"/>
              </w:rPr>
              <w:t>соблюдения природоохранного законодательства, относящихся к компетенции управления охраны окружающей среды</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ежемесячно</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5" w:leader="none"/>
                <w:tab w:val="center" w:pos="23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12.</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Организация работы по обобщению и анализу практики осуществления государственного надзора с указанием наиболее часто встречающихся случаев нарушений обязательных требований и рекомендациями в отношении мер, которые должны приниматься юридическими лицами и индивидуальными предпринимателями в целях недопущения таких нарушений.</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ежегодно до 20.05.</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 w:leader="none"/>
              </w:tabs>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13.</w:t>
            </w:r>
          </w:p>
        </w:tc>
        <w:tc>
          <w:tcPr>
            <w:tcW w:w="5046" w:type="dxa"/>
            <w:tcBorders>
              <w:top w:val="single" w:sz="4" w:space="0" w:color="000000"/>
              <w:left w:val="single" w:sz="4" w:space="0" w:color="000000"/>
              <w:bottom w:val="single" w:sz="4" w:space="0" w:color="000000"/>
            </w:tcBorders>
          </w:tcPr>
          <w:p>
            <w:pPr>
              <w:pStyle w:val="Normal"/>
              <w:widowControl w:val="false"/>
              <w:spacing w:lineRule="auto" w:line="240" w:before="0" w:after="0"/>
              <w:rPr>
                <w:sz w:val="20"/>
                <w:szCs w:val="20"/>
              </w:rPr>
            </w:pPr>
            <w:r>
              <w:rPr>
                <w:rFonts w:eastAsia="Times New Roman" w:cs="Times New Roman"/>
                <w:sz w:val="20"/>
                <w:szCs w:val="20"/>
                <w:lang w:eastAsia="ru-RU"/>
              </w:rPr>
              <w:t>Размещение на официальном сайте Администрации в сети «Интернет» информации по обобщению и анализу практики осуществления государственного надзора с указанием наиболее часто встречающихся случаев нарушений обязательных требований и рекомендациями в отношении мер, которые должны приниматься юридическими лицами и индивидуальными предпринимателями в целях недопущения таких нарушений.</w:t>
            </w:r>
          </w:p>
        </w:tc>
        <w:tc>
          <w:tcPr>
            <w:tcW w:w="1528"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sz w:val="20"/>
                <w:szCs w:val="20"/>
              </w:rPr>
            </w:pPr>
            <w:r>
              <w:rPr>
                <w:rFonts w:eastAsia="Times New Roman" w:cs="Times New Roman"/>
                <w:sz w:val="20"/>
                <w:szCs w:val="20"/>
                <w:lang w:eastAsia="ru-RU"/>
              </w:rPr>
              <w:t>ежегодно до 01.07.</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r>
        <w:trPr/>
        <w:tc>
          <w:tcPr>
            <w:tcW w:w="625"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sz w:val="20"/>
                <w:szCs w:val="20"/>
                <w:lang w:eastAsia="ru-RU"/>
              </w:rPr>
              <w:t>14.</w:t>
            </w:r>
          </w:p>
        </w:tc>
        <w:tc>
          <w:tcPr>
            <w:tcW w:w="5046" w:type="dxa"/>
            <w:tcBorders>
              <w:top w:val="single" w:sz="4" w:space="0" w:color="000000"/>
              <w:left w:val="single" w:sz="4" w:space="0" w:color="000000"/>
              <w:bottom w:val="single" w:sz="4" w:space="0" w:color="000000"/>
            </w:tcBorders>
          </w:tcPr>
          <w:p>
            <w:pPr>
              <w:pStyle w:val="Default"/>
              <w:widowControl w:val="false"/>
              <w:rPr>
                <w:rFonts w:eastAsia="Times New Roman"/>
                <w:sz w:val="20"/>
                <w:szCs w:val="20"/>
                <w:lang w:eastAsia="ru-RU"/>
              </w:rPr>
            </w:pPr>
            <w:r>
              <w:rPr>
                <w:rFonts w:eastAsia="Times New Roman"/>
                <w:sz w:val="20"/>
                <w:szCs w:val="20"/>
                <w:lang w:eastAsia="ru-RU"/>
              </w:rPr>
              <w:t>Проведение профилактических визитов</w:t>
            </w:r>
          </w:p>
        </w:tc>
        <w:tc>
          <w:tcPr>
            <w:tcW w:w="1528" w:type="dxa"/>
            <w:tcBorders>
              <w:top w:val="single" w:sz="4" w:space="0" w:color="000000"/>
              <w:left w:val="single" w:sz="4" w:space="0" w:color="000000"/>
              <w:bottom w:val="single" w:sz="4" w:space="0" w:color="000000"/>
            </w:tcBorders>
          </w:tcPr>
          <w:p>
            <w:pPr>
              <w:pStyle w:val="Default"/>
              <w:widowControl w:val="false"/>
              <w:jc w:val="center"/>
              <w:rPr>
                <w:rFonts w:eastAsia="Times New Roman"/>
                <w:sz w:val="20"/>
                <w:szCs w:val="20"/>
                <w:lang w:eastAsia="ru-RU"/>
              </w:rPr>
            </w:pPr>
            <w:r>
              <w:rPr>
                <w:rFonts w:eastAsia="Times New Roman"/>
                <w:sz w:val="20"/>
                <w:szCs w:val="20"/>
                <w:lang w:eastAsia="ru-RU"/>
              </w:rPr>
              <w:t>в соответствии с утвержденным перечнем организаций, предлагаемых для проведения профилактического визита</w:t>
            </w:r>
          </w:p>
        </w:tc>
        <w:tc>
          <w:tcPr>
            <w:tcW w:w="1473" w:type="dxa"/>
            <w:tcBorders>
              <w:top w:val="single" w:sz="4" w:space="0" w:color="000000"/>
              <w:left w:val="single" w:sz="4" w:space="0" w:color="000000"/>
              <w:bottom w:val="single" w:sz="4" w:space="0" w:color="000000"/>
            </w:tcBorders>
          </w:tcPr>
          <w:p>
            <w:pPr>
              <w:pStyle w:val="Normal"/>
              <w:widowControl w:val="false"/>
              <w:tabs>
                <w:tab w:val="clear" w:pos="708"/>
                <w:tab w:val="left" w:pos="-164" w:leader="none"/>
                <w:tab w:val="center" w:pos="3238" w:leader="none"/>
              </w:tabs>
              <w:spacing w:lineRule="auto" w:line="240" w:before="0" w:after="0"/>
              <w:ind w:left="-170" w:right="0" w:hanging="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t xml:space="preserve">Должностные лица </w:t>
            </w:r>
            <w:r>
              <w:rPr>
                <w:rFonts w:eastAsia="Times New Roman" w:cs="Times New Roman"/>
                <w:color w:val="auto"/>
                <w:sz w:val="20"/>
                <w:szCs w:val="20"/>
                <w:lang w:val="ru-RU" w:eastAsia="zh-CN" w:bidi="ar-SA"/>
              </w:rPr>
              <w:t>отдела по экологии</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r>
    </w:tbl>
    <w:p>
      <w:pPr>
        <w:pStyle w:val="Normal"/>
        <w:widowControl w:val="false"/>
        <w:spacing w:lineRule="auto" w:line="240" w:before="0" w:after="0"/>
        <w:jc w:val="both"/>
        <w:rPr>
          <w:b/>
          <w:b/>
          <w:sz w:val="28"/>
          <w:szCs w:val="28"/>
        </w:rPr>
      </w:pPr>
      <w:r>
        <w:rPr>
          <w:b/>
          <w:sz w:val="28"/>
          <w:szCs w:val="28"/>
        </w:rPr>
      </w:r>
    </w:p>
    <w:p>
      <w:pPr>
        <w:pStyle w:val="Normal"/>
        <w:widowControl w:val="false"/>
        <w:numPr>
          <w:ilvl w:val="0"/>
          <w:numId w:val="0"/>
        </w:numPr>
        <w:spacing w:before="0" w:after="0"/>
        <w:ind w:left="0" w:firstLine="709"/>
        <w:jc w:val="center"/>
        <w:outlineLvl w:val="2"/>
        <w:rPr>
          <w:rFonts w:cs="Times New Roman"/>
          <w:b/>
          <w:b/>
        </w:rPr>
      </w:pPr>
      <w:r>
        <w:rPr>
          <w:rFonts w:eastAsia="Times New Roman" w:cs="Times New Roman"/>
          <w:b/>
          <w:bCs/>
          <w:sz w:val="28"/>
          <w:szCs w:val="26"/>
          <w:lang w:val="ru-RU" w:bidi="ru-RU"/>
        </w:rPr>
        <w:t>Раздел 4. Показатели результативности и эффективности программы профилактики</w:t>
      </w:r>
    </w:p>
    <w:p>
      <w:pPr>
        <w:pStyle w:val="Normal"/>
        <w:widowControl w:val="false"/>
        <w:shd w:val="clear" w:color="FFFFFF" w:fill="FFFFFF"/>
        <w:spacing w:lineRule="auto" w:line="240" w:before="0" w:after="0"/>
        <w:ind w:firstLine="709"/>
        <w:contextualSpacing/>
        <w:rPr>
          <w:rFonts w:ascii="Times New Roman" w:hAnsi="Times New Roman" w:eastAsia="Times New Roman" w:cs="Times New Roman"/>
          <w:b/>
          <w:b/>
          <w:bCs/>
          <w:color w:val="000000"/>
          <w:sz w:val="24"/>
          <w:szCs w:val="28"/>
          <w:lang w:eastAsia="ru-RU" w:bidi="ru-RU"/>
        </w:rPr>
      </w:pPr>
      <w:r>
        <w:rPr>
          <w:rFonts w:eastAsia="Times New Roman" w:cs="Times New Roman"/>
          <w:b/>
          <w:bCs/>
          <w:color w:val="000000"/>
          <w:sz w:val="24"/>
          <w:szCs w:val="28"/>
          <w:lang w:eastAsia="ru-RU" w:bidi="ru-RU"/>
        </w:rPr>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color w:val="000000"/>
          <w:sz w:val="28"/>
          <w:szCs w:val="28"/>
          <w:lang w:eastAsia="ru-RU"/>
        </w:rPr>
        <w:t>4.1. Основным механизмом оценки эффективности и результативности профилактических мероприятий являются анализ статистических показателей контрольной (надзорной) деятельности.</w:t>
      </w:r>
    </w:p>
    <w:p>
      <w:pPr>
        <w:pStyle w:val="Normal"/>
        <w:widowControl w:val="false"/>
        <w:spacing w:lineRule="auto" w:line="240" w:before="0" w:after="0"/>
        <w:ind w:firstLine="709"/>
        <w:jc w:val="both"/>
        <w:rPr/>
      </w:pPr>
      <w:r>
        <w:rPr>
          <w:rFonts w:eastAsia="Times New Roman" w:cs="Times New Roman"/>
          <w:color w:val="000000"/>
          <w:sz w:val="28"/>
          <w:szCs w:val="28"/>
          <w:lang w:eastAsia="ru-RU"/>
        </w:rPr>
        <w:t>Показателями качества профилактических мероприятий являются:</w:t>
      </w:r>
    </w:p>
    <w:p>
      <w:pPr>
        <w:pStyle w:val="Normal"/>
        <w:widowControl w:val="false"/>
        <w:numPr>
          <w:ilvl w:val="0"/>
          <w:numId w:val="1"/>
        </w:numPr>
        <w:spacing w:lineRule="auto" w:line="240" w:before="0" w:after="0"/>
        <w:ind w:left="0" w:firstLine="709"/>
        <w:jc w:val="both"/>
        <w:rPr>
          <w:rFonts w:ascii="Times New Roman" w:hAnsi="Times New Roman" w:eastAsia="Times New Roman" w:cs="Times New Roman"/>
          <w:color w:val="000000"/>
          <w:sz w:val="28"/>
          <w:szCs w:val="28"/>
          <w:lang w:eastAsia="ru-RU"/>
        </w:rPr>
      </w:pPr>
      <w:r>
        <w:rPr>
          <w:rFonts w:eastAsia="Times New Roman" w:cs="Times New Roman"/>
          <w:color w:val="000000"/>
          <w:sz w:val="28"/>
          <w:szCs w:val="28"/>
          <w:lang w:eastAsia="ru-RU"/>
        </w:rPr>
        <w:t>улучшение состояния подконтрольной среды (повышение уровня правовой грамотности, законопослушности контролируемых лиц в вопросах исполнения обязательных требований природоохранного законодательства, повышение степени их информированности об обязательных требованиях, о принятых и готовящихся изменениях в системе обязательных требований, о порядке проведения проверок, правах контролируемых лиц в ходе проверки, повышение качества поступающей информации и др.);</w:t>
      </w:r>
    </w:p>
    <w:p>
      <w:pPr>
        <w:pStyle w:val="Normal"/>
        <w:widowControl w:val="false"/>
        <w:numPr>
          <w:ilvl w:val="0"/>
          <w:numId w:val="1"/>
        </w:numPr>
        <w:spacing w:lineRule="auto" w:line="240" w:before="0" w:after="0"/>
        <w:ind w:left="0" w:firstLine="709"/>
        <w:jc w:val="both"/>
        <w:rPr>
          <w:rFonts w:ascii="Times New Roman" w:hAnsi="Times New Roman" w:eastAsia="Times New Roman" w:cs="Times New Roman"/>
          <w:color w:val="000000"/>
          <w:sz w:val="28"/>
          <w:szCs w:val="28"/>
          <w:lang w:eastAsia="ru-RU"/>
        </w:rPr>
      </w:pPr>
      <w:r>
        <w:rPr>
          <w:rFonts w:eastAsia="Times New Roman" w:cs="Times New Roman"/>
          <w:color w:val="000000"/>
          <w:sz w:val="28"/>
          <w:szCs w:val="28"/>
          <w:lang w:eastAsia="ru-RU"/>
        </w:rPr>
        <w:t>снижение количества фактов причинения вреда окружающей среде;</w:t>
      </w:r>
    </w:p>
    <w:p>
      <w:pPr>
        <w:pStyle w:val="Normal"/>
        <w:widowControl w:val="false"/>
        <w:numPr>
          <w:ilvl w:val="0"/>
          <w:numId w:val="1"/>
        </w:numPr>
        <w:spacing w:lineRule="auto" w:line="240" w:before="0" w:after="0"/>
        <w:ind w:left="0" w:firstLine="709"/>
        <w:jc w:val="both"/>
        <w:rPr>
          <w:rFonts w:ascii="Times New Roman" w:hAnsi="Times New Roman" w:eastAsia="Times New Roman" w:cs="Times New Roman"/>
          <w:color w:val="000000"/>
          <w:sz w:val="28"/>
          <w:szCs w:val="28"/>
          <w:lang w:eastAsia="ru-RU"/>
        </w:rPr>
      </w:pPr>
      <w:r>
        <w:rPr>
          <w:rFonts w:eastAsia="Times New Roman" w:cs="Times New Roman"/>
          <w:color w:val="000000"/>
          <w:sz w:val="28"/>
          <w:szCs w:val="28"/>
          <w:lang w:eastAsia="ru-RU"/>
        </w:rPr>
        <w:t>снижение количества нарушений обязательных требований природоохранного законодательства.</w:t>
      </w:r>
    </w:p>
    <w:p>
      <w:pPr>
        <w:pStyle w:val="Normal"/>
        <w:widowControl w:val="false"/>
        <w:numPr>
          <w:ilvl w:val="0"/>
          <w:numId w:val="1"/>
        </w:numPr>
        <w:spacing w:lineRule="auto" w:line="240" w:before="0" w:after="0"/>
        <w:ind w:left="0" w:firstLine="709"/>
        <w:jc w:val="both"/>
        <w:rPr>
          <w:rFonts w:ascii="Times New Roman" w:hAnsi="Times New Roman" w:eastAsia="Times New Roman" w:cs="Times New Roman"/>
          <w:color w:val="000000"/>
          <w:sz w:val="28"/>
          <w:szCs w:val="28"/>
          <w:lang w:eastAsia="ru-RU"/>
        </w:rPr>
      </w:pPr>
      <w:r>
        <w:rPr>
          <w:rFonts w:eastAsia="Times New Roman" w:cs="Times New Roman"/>
          <w:color w:val="000000"/>
          <w:sz w:val="28"/>
          <w:szCs w:val="28"/>
          <w:lang w:eastAsia="ru-RU"/>
        </w:rPr>
        <w:t xml:space="preserve">снижением количества правонарушений при осуществлении контролируемыми лицами своей деятельности. </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Оценка результативности и эффективности контрольно-надзорной деятельности направлена на снижение уровня вреда (ущерба) охраняемым законом ценностям в сфере деятельности Администрации.</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Ключевым показателем результативности осуществления контроля (надзора) в области охраны окружающей среды является доля правонарушений, повлекших причинение вреда окружающей среде, из числа правонарушений, выявленных в ходе проведения проверок в рамках регионального экологического надзора. Целевое значение данного показателя составляет 20%.</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 xml:space="preserve">Индикативными показателями результативности осуществления  контроля (надзора) в области охраны окружающей среды являются: </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а) общее количество проведенных плановых выездных проверок. Целевое значение данного показателя составляет 100%;</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б) общее количество проведенных рейдовых осмотров. Целевое значение данного показателя составляет 100%.</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 xml:space="preserve">Перечень индикаторов риска нарушения обязательных требований при осуществлении регионального экологического надзора: </w:t>
      </w:r>
    </w:p>
    <w:p>
      <w:pPr>
        <w:pStyle w:val="Normal"/>
        <w:widowControl w:val="false"/>
        <w:spacing w:lineRule="auto" w:line="240" w:before="0" w:after="0"/>
        <w:ind w:firstLine="709"/>
        <w:jc w:val="both"/>
        <w:rPr/>
      </w:pPr>
      <w:r>
        <w:rPr>
          <w:rFonts w:eastAsia="Times New Roman" w:cs="Times New Roman"/>
          <w:sz w:val="28"/>
          <w:szCs w:val="28"/>
          <w:lang w:eastAsia="ru-RU"/>
        </w:rPr>
        <w:t xml:space="preserve">а) поступление в </w:t>
      </w:r>
      <w:r>
        <w:rPr>
          <w:rFonts w:eastAsia="Times New Roman" w:cs="Times New Roman"/>
          <w:color w:val="auto"/>
          <w:sz w:val="28"/>
          <w:szCs w:val="28"/>
          <w:lang w:val="ru-RU" w:eastAsia="ru-RU" w:bidi="ar-SA"/>
        </w:rPr>
        <w:t>адрес Администрации информации</w:t>
      </w:r>
      <w:r>
        <w:rPr>
          <w:rFonts w:eastAsia="Times New Roman" w:cs="Times New Roman"/>
          <w:sz w:val="28"/>
          <w:szCs w:val="28"/>
          <w:lang w:eastAsia="ru-RU"/>
        </w:rPr>
        <w:t xml:space="preserve"> о неблагоприятных метеорологических условиях на территории </w:t>
      </w:r>
      <w:r>
        <w:rPr>
          <w:rFonts w:eastAsia="Times New Roman" w:cs="Times New Roman"/>
          <w:color w:val="auto"/>
          <w:sz w:val="28"/>
          <w:szCs w:val="28"/>
          <w:lang w:val="ru-RU" w:eastAsia="ru-RU" w:bidi="ar-SA"/>
        </w:rPr>
        <w:t>м.р. Алексеевский</w:t>
      </w:r>
      <w:r>
        <w:rPr>
          <w:rFonts w:eastAsia="Times New Roman" w:cs="Times New Roman"/>
          <w:sz w:val="28"/>
          <w:szCs w:val="28"/>
          <w:lang w:eastAsia="ru-RU"/>
        </w:rPr>
        <w:t xml:space="preserve">; </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 xml:space="preserve">б) поступление информации об аварийных выбросах загрязняющих веществ в атмосферный воздух; </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в) поступление информации об авариях и иных чрезвычайных ситуациях на водных объектах;</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sz w:val="28"/>
          <w:szCs w:val="28"/>
          <w:lang w:eastAsia="ru-RU"/>
        </w:rPr>
        <w:t>г) поступление информации о сбросе отходов производства и потребления в поверхностные и подземные водные объекты, на водосборные площади, в недра и на почву.</w:t>
      </w:r>
    </w:p>
    <w:p>
      <w:pPr>
        <w:pStyle w:val="Normal"/>
        <w:spacing w:lineRule="auto" w:line="240" w:before="0" w:after="0"/>
        <w:jc w:val="center"/>
        <w:rPr>
          <w:rFonts w:ascii="Times New Roman" w:hAnsi="Times New Roman" w:eastAsia="Times New Roman" w:cs="Times New Roman"/>
          <w:color w:val="000000"/>
          <w:sz w:val="24"/>
          <w:szCs w:val="24"/>
          <w:lang w:eastAsia="ru-RU"/>
        </w:rPr>
      </w:pPr>
      <w:r>
        <w:rPr>
          <w:rFonts w:eastAsia="Times New Roman" w:cs="Times New Roman"/>
          <w:color w:val="000000"/>
          <w:sz w:val="24"/>
          <w:szCs w:val="24"/>
          <w:lang w:eastAsia="ru-RU"/>
        </w:rPr>
      </w:r>
    </w:p>
    <w:p>
      <w:pPr>
        <w:pStyle w:val="Normal"/>
        <w:spacing w:lineRule="auto" w:line="240" w:before="0" w:after="0"/>
        <w:jc w:val="center"/>
        <w:rPr>
          <w:rFonts w:ascii="Times New Roman" w:hAnsi="Times New Roman" w:cs="Times New Roman"/>
          <w:sz w:val="28"/>
          <w:szCs w:val="28"/>
        </w:rPr>
      </w:pPr>
      <w:r>
        <w:rPr>
          <w:rFonts w:cs="Times New Roman"/>
          <w:sz w:val="28"/>
          <w:szCs w:val="28"/>
        </w:rPr>
        <w:t>Отчетные показатели профилактических мероприятий в 2024 году</w:t>
      </w:r>
    </w:p>
    <w:p>
      <w:pPr>
        <w:pStyle w:val="Normal"/>
        <w:spacing w:lineRule="auto" w:line="240" w:before="0" w:after="0"/>
        <w:jc w:val="center"/>
        <w:rPr>
          <w:rFonts w:ascii="Times New Roman" w:hAnsi="Times New Roman" w:cs="Times New Roman"/>
          <w:sz w:val="24"/>
          <w:szCs w:val="24"/>
        </w:rPr>
      </w:pPr>
      <w:r>
        <w:rPr>
          <w:rFonts w:cs="Times New Roman"/>
          <w:sz w:val="24"/>
          <w:szCs w:val="24"/>
        </w:rPr>
      </w:r>
    </w:p>
    <w:tbl>
      <w:tblPr>
        <w:tblW w:w="9580" w:type="dxa"/>
        <w:jc w:val="left"/>
        <w:tblInd w:w="-5" w:type="dxa"/>
        <w:tblLayout w:type="fixed"/>
        <w:tblCellMar>
          <w:top w:w="0" w:type="dxa"/>
          <w:left w:w="108" w:type="dxa"/>
          <w:bottom w:w="0" w:type="dxa"/>
          <w:right w:w="108" w:type="dxa"/>
        </w:tblCellMar>
        <w:tblLook w:noVBand="1" w:val="04a0" w:noHBand="0" w:lastColumn="0" w:firstColumn="1" w:lastRow="0" w:firstRow="1"/>
      </w:tblPr>
      <w:tblGrid>
        <w:gridCol w:w="801"/>
        <w:gridCol w:w="6649"/>
        <w:gridCol w:w="2130"/>
      </w:tblGrid>
      <w:tr>
        <w:trPr/>
        <w:tc>
          <w:tcPr>
            <w:tcW w:w="80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w:t>
            </w:r>
            <w:r>
              <w:rPr>
                <w:rFonts w:eastAsia="Times New Roman" w:cs="Times New Roman"/>
                <w:sz w:val="24"/>
                <w:szCs w:val="24"/>
              </w:rPr>
              <w:t xml:space="preserve"> </w:t>
            </w:r>
            <w:r>
              <w:rPr>
                <w:rFonts w:cs="Times New Roman"/>
                <w:sz w:val="24"/>
                <w:szCs w:val="24"/>
              </w:rPr>
              <w:t>п\п</w:t>
            </w:r>
          </w:p>
        </w:tc>
        <w:tc>
          <w:tcPr>
            <w:tcW w:w="6649"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Наименование показателя</w:t>
            </w:r>
          </w:p>
        </w:tc>
        <w:tc>
          <w:tcPr>
            <w:tcW w:w="2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Величина</w:t>
            </w:r>
          </w:p>
        </w:tc>
      </w:tr>
      <w:tr>
        <w:trPr/>
        <w:tc>
          <w:tcPr>
            <w:tcW w:w="80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1</w:t>
            </w:r>
          </w:p>
        </w:tc>
        <w:tc>
          <w:tcPr>
            <w:tcW w:w="664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cs="Times New Roman"/>
                <w:bCs/>
                <w:color w:val="000000"/>
                <w:sz w:val="24"/>
                <w:szCs w:val="24"/>
              </w:rPr>
            </w:pPr>
            <w:r>
              <w:rPr>
                <w:rFonts w:cs="Times New Roman"/>
                <w:bCs/>
                <w:color w:val="000000"/>
                <w:sz w:val="24"/>
                <w:szCs w:val="24"/>
              </w:rPr>
              <w:t>Доля правонарушений, повлекших причинение вреда окружающей среде, из общего числа выявленных правонарушений при проведении проверок  в отношении подведомственных субъектов</w:t>
            </w:r>
          </w:p>
        </w:tc>
        <w:tc>
          <w:tcPr>
            <w:tcW w:w="2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20%</w:t>
            </w:r>
          </w:p>
        </w:tc>
      </w:tr>
      <w:tr>
        <w:trPr>
          <w:trHeight w:val="64" w:hRule="atLeast"/>
        </w:trPr>
        <w:tc>
          <w:tcPr>
            <w:tcW w:w="80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2</w:t>
            </w:r>
          </w:p>
        </w:tc>
        <w:tc>
          <w:tcPr>
            <w:tcW w:w="664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cs="Times New Roman"/>
                <w:color w:val="000000"/>
                <w:sz w:val="24"/>
                <w:szCs w:val="24"/>
              </w:rPr>
            </w:pPr>
            <w:r>
              <w:rPr>
                <w:rFonts w:cs="Times New Roman"/>
                <w:color w:val="000000"/>
                <w:sz w:val="24"/>
                <w:szCs w:val="24"/>
              </w:rPr>
              <w:t>Выдача предостережений  о   недопустимости нарушения обязательных требований в случаях, предусмотренных законодательством</w:t>
            </w:r>
          </w:p>
        </w:tc>
        <w:tc>
          <w:tcPr>
            <w:tcW w:w="2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100%</w:t>
            </w:r>
          </w:p>
        </w:tc>
      </w:tr>
      <w:tr>
        <w:trPr/>
        <w:tc>
          <w:tcPr>
            <w:tcW w:w="80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3</w:t>
            </w:r>
          </w:p>
        </w:tc>
        <w:tc>
          <w:tcPr>
            <w:tcW w:w="6649" w:type="dxa"/>
            <w:tcBorders>
              <w:top w:val="single" w:sz="4" w:space="0" w:color="000000"/>
              <w:left w:val="single" w:sz="4" w:space="0" w:color="000000"/>
              <w:bottom w:val="single" w:sz="4" w:space="0" w:color="000000"/>
            </w:tcBorders>
          </w:tcPr>
          <w:p>
            <w:pPr>
              <w:pStyle w:val="Normal"/>
              <w:widowControl w:val="false"/>
              <w:spacing w:lineRule="auto" w:line="240" w:before="0" w:after="0"/>
              <w:jc w:val="both"/>
              <w:rPr/>
            </w:pPr>
            <w:r>
              <w:rPr>
                <w:rFonts w:cs="Times New Roman"/>
                <w:color w:val="000000"/>
                <w:sz w:val="24"/>
                <w:szCs w:val="24"/>
              </w:rPr>
              <w:t xml:space="preserve">Исполняемость плана мероприятий по профилактике </w:t>
            </w:r>
            <w:r>
              <w:rPr>
                <w:rFonts w:cs="Times New Roman"/>
                <w:sz w:val="24"/>
                <w:szCs w:val="24"/>
              </w:rPr>
              <w:t xml:space="preserve">рисков причинения вреда  охраняемым законом ценностям вследствие нарушений обязательных требований законодательства в сфере </w:t>
            </w:r>
            <w:r>
              <w:rPr>
                <w:rFonts w:eastAsia="Times New Roman" w:cs="Times New Roman"/>
                <w:color w:val="auto"/>
                <w:sz w:val="24"/>
                <w:szCs w:val="24"/>
                <w:lang w:val="ru-RU" w:eastAsia="zh-CN" w:bidi="ar-SA"/>
              </w:rPr>
              <w:t>природо</w:t>
            </w:r>
            <w:r>
              <w:rPr>
                <w:rFonts w:cs="Times New Roman"/>
                <w:sz w:val="24"/>
                <w:szCs w:val="24"/>
              </w:rPr>
              <w:t>пользования</w:t>
            </w:r>
          </w:p>
        </w:tc>
        <w:tc>
          <w:tcPr>
            <w:tcW w:w="21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100%</w:t>
            </w:r>
          </w:p>
        </w:tc>
      </w:tr>
    </w:tbl>
    <w:p>
      <w:pPr>
        <w:pStyle w:val="Normal"/>
        <w:spacing w:lineRule="auto" w:line="240" w:before="0" w:after="0"/>
        <w:rPr>
          <w:rFonts w:ascii="Times New Roman" w:hAnsi="Times New Roman" w:cs="Times New Roman"/>
          <w:b/>
          <w:b/>
          <w:sz w:val="24"/>
          <w:szCs w:val="24"/>
        </w:rPr>
      </w:pPr>
      <w:r>
        <w:rPr>
          <w:rFonts w:cs="Times New Roman"/>
          <w:b/>
          <w:sz w:val="24"/>
          <w:szCs w:val="24"/>
        </w:rPr>
      </w:r>
    </w:p>
    <w:p>
      <w:pPr>
        <w:pStyle w:val="Normal"/>
        <w:spacing w:lineRule="auto" w:line="240" w:before="0" w:after="0"/>
        <w:jc w:val="center"/>
        <w:rPr>
          <w:rFonts w:ascii="Times New Roman" w:hAnsi="Times New Roman" w:cs="Times New Roman"/>
          <w:sz w:val="28"/>
          <w:szCs w:val="28"/>
        </w:rPr>
      </w:pPr>
      <w:r>
        <w:rPr>
          <w:rFonts w:cs="Times New Roman"/>
          <w:sz w:val="28"/>
          <w:szCs w:val="28"/>
        </w:rPr>
        <w:t>Плановые показатели профилактических мероприятий в 2025-2026 году</w:t>
      </w:r>
    </w:p>
    <w:p>
      <w:pPr>
        <w:pStyle w:val="Normal"/>
        <w:spacing w:lineRule="auto" w:line="240" w:before="0" w:after="0"/>
        <w:rPr>
          <w:rFonts w:ascii="Times New Roman" w:hAnsi="Times New Roman" w:cs="Times New Roman"/>
          <w:sz w:val="24"/>
          <w:szCs w:val="24"/>
        </w:rPr>
      </w:pPr>
      <w:r>
        <w:rPr>
          <w:rFonts w:cs="Times New Roman"/>
          <w:sz w:val="24"/>
          <w:szCs w:val="24"/>
        </w:rPr>
      </w:r>
    </w:p>
    <w:tbl>
      <w:tblPr>
        <w:tblW w:w="9580" w:type="dxa"/>
        <w:jc w:val="left"/>
        <w:tblInd w:w="-5" w:type="dxa"/>
        <w:tblLayout w:type="fixed"/>
        <w:tblCellMar>
          <w:top w:w="0" w:type="dxa"/>
          <w:left w:w="108" w:type="dxa"/>
          <w:bottom w:w="0" w:type="dxa"/>
          <w:right w:w="108" w:type="dxa"/>
        </w:tblCellMar>
        <w:tblLook w:noVBand="1" w:val="04a0" w:noHBand="0" w:lastColumn="0" w:firstColumn="1" w:lastRow="0" w:firstRow="1"/>
      </w:tblPr>
      <w:tblGrid>
        <w:gridCol w:w="771"/>
        <w:gridCol w:w="6673"/>
        <w:gridCol w:w="2136"/>
      </w:tblGrid>
      <w:tr>
        <w:trPr/>
        <w:tc>
          <w:tcPr>
            <w:tcW w:w="77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w:t>
            </w:r>
            <w:r>
              <w:rPr>
                <w:rFonts w:eastAsia="Times New Roman" w:cs="Times New Roman"/>
                <w:sz w:val="24"/>
                <w:szCs w:val="24"/>
              </w:rPr>
              <w:t xml:space="preserve"> </w:t>
            </w:r>
            <w:r>
              <w:rPr>
                <w:rFonts w:cs="Times New Roman"/>
                <w:sz w:val="24"/>
                <w:szCs w:val="24"/>
              </w:rPr>
              <w:t>п\п</w:t>
            </w:r>
          </w:p>
        </w:tc>
        <w:tc>
          <w:tcPr>
            <w:tcW w:w="6673"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Наименование показателя</w:t>
            </w:r>
          </w:p>
        </w:tc>
        <w:tc>
          <w:tcPr>
            <w:tcW w:w="213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Величина</w:t>
            </w:r>
          </w:p>
        </w:tc>
      </w:tr>
      <w:tr>
        <w:trPr/>
        <w:tc>
          <w:tcPr>
            <w:tcW w:w="77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1</w:t>
            </w:r>
          </w:p>
        </w:tc>
        <w:tc>
          <w:tcPr>
            <w:tcW w:w="6673"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cs="Times New Roman"/>
                <w:bCs/>
                <w:color w:val="000000"/>
                <w:sz w:val="24"/>
                <w:szCs w:val="24"/>
              </w:rPr>
            </w:pPr>
            <w:r>
              <w:rPr>
                <w:rFonts w:cs="Times New Roman"/>
                <w:bCs/>
                <w:color w:val="000000"/>
                <w:sz w:val="24"/>
                <w:szCs w:val="24"/>
              </w:rPr>
              <w:t>Доля правонарушений, повлекших причинение вреда окружающей среде, из общего числа выявленных правонарушений при проведении проверок  в отношении подведомственных субъектов</w:t>
            </w:r>
          </w:p>
        </w:tc>
        <w:tc>
          <w:tcPr>
            <w:tcW w:w="213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sz w:val="24"/>
                <w:szCs w:val="24"/>
              </w:rPr>
            </w:pPr>
            <w:r>
              <w:rPr>
                <w:rFonts w:cs="Times New Roman"/>
                <w:sz w:val="24"/>
                <w:szCs w:val="24"/>
              </w:rPr>
              <w:t>20%</w:t>
            </w:r>
          </w:p>
        </w:tc>
      </w:tr>
      <w:tr>
        <w:trPr/>
        <w:tc>
          <w:tcPr>
            <w:tcW w:w="77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2</w:t>
            </w:r>
          </w:p>
        </w:tc>
        <w:tc>
          <w:tcPr>
            <w:tcW w:w="6673"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cs="Times New Roman"/>
                <w:color w:val="000000"/>
                <w:sz w:val="24"/>
                <w:szCs w:val="24"/>
              </w:rPr>
            </w:pPr>
            <w:r>
              <w:rPr>
                <w:rFonts w:cs="Times New Roman"/>
                <w:color w:val="000000"/>
                <w:sz w:val="24"/>
                <w:szCs w:val="24"/>
              </w:rPr>
              <w:t>Выдача предостережений о недопустимости нарушения обязательных требований в случаях, предусмотренных законодательством</w:t>
            </w:r>
          </w:p>
        </w:tc>
        <w:tc>
          <w:tcPr>
            <w:tcW w:w="213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100%</w:t>
            </w:r>
          </w:p>
        </w:tc>
      </w:tr>
      <w:tr>
        <w:trPr/>
        <w:tc>
          <w:tcPr>
            <w:tcW w:w="771"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3</w:t>
            </w:r>
          </w:p>
        </w:tc>
        <w:tc>
          <w:tcPr>
            <w:tcW w:w="6673" w:type="dxa"/>
            <w:tcBorders>
              <w:top w:val="single" w:sz="4" w:space="0" w:color="000000"/>
              <w:left w:val="single" w:sz="4" w:space="0" w:color="000000"/>
              <w:bottom w:val="single" w:sz="4" w:space="0" w:color="000000"/>
            </w:tcBorders>
          </w:tcPr>
          <w:p>
            <w:pPr>
              <w:pStyle w:val="Normal"/>
              <w:widowControl w:val="false"/>
              <w:spacing w:lineRule="auto" w:line="240" w:before="0" w:after="0"/>
              <w:jc w:val="both"/>
              <w:rPr/>
            </w:pPr>
            <w:r>
              <w:rPr>
                <w:rFonts w:cs="Times New Roman"/>
                <w:color w:val="000000"/>
                <w:sz w:val="24"/>
                <w:szCs w:val="24"/>
              </w:rPr>
              <w:t xml:space="preserve">Исполняемость плана мероприятий по профилактике </w:t>
            </w:r>
            <w:r>
              <w:rPr>
                <w:rFonts w:cs="Times New Roman"/>
                <w:sz w:val="24"/>
                <w:szCs w:val="24"/>
              </w:rPr>
              <w:t xml:space="preserve">рисков причинения вреда охраняемым законом ценностям вследствие нарушений обязательных требований законодательства в сфере </w:t>
            </w:r>
            <w:r>
              <w:rPr>
                <w:rFonts w:eastAsia="Times New Roman" w:cs="Times New Roman"/>
                <w:color w:val="auto"/>
                <w:sz w:val="24"/>
                <w:szCs w:val="24"/>
                <w:lang w:val="ru-RU" w:eastAsia="zh-CN" w:bidi="ar-SA"/>
              </w:rPr>
              <w:t>природо</w:t>
            </w:r>
            <w:r>
              <w:rPr>
                <w:rFonts w:cs="Times New Roman"/>
                <w:sz w:val="24"/>
                <w:szCs w:val="24"/>
              </w:rPr>
              <w:t>пользования</w:t>
            </w:r>
          </w:p>
        </w:tc>
        <w:tc>
          <w:tcPr>
            <w:tcW w:w="213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s="Times New Roman"/>
                <w:color w:val="000000"/>
                <w:sz w:val="24"/>
                <w:szCs w:val="24"/>
              </w:rPr>
            </w:pPr>
            <w:r>
              <w:rPr>
                <w:rFonts w:cs="Times New Roman"/>
                <w:color w:val="000000"/>
                <w:sz w:val="24"/>
                <w:szCs w:val="24"/>
              </w:rPr>
              <w:t>100%</w:t>
            </w:r>
          </w:p>
        </w:tc>
      </w:tr>
    </w:tbl>
    <w:p>
      <w:pPr>
        <w:pStyle w:val="Normal"/>
        <w:spacing w:lineRule="auto" w:line="240" w:before="0" w:after="0"/>
        <w:jc w:val="both"/>
        <w:rPr>
          <w:b/>
          <w:b/>
        </w:rPr>
      </w:pPr>
      <w:r>
        <w:rPr>
          <w:b/>
        </w:rPr>
      </w:r>
    </w:p>
    <w:p>
      <w:pPr>
        <w:pStyle w:val="Normal"/>
        <w:jc w:val="center"/>
        <w:rPr/>
      </w:pPr>
      <w:r>
        <w:rPr/>
      </w:r>
    </w:p>
    <w:p>
      <w:pPr>
        <w:pStyle w:val="Normal"/>
        <w:jc w:val="center"/>
        <w:rPr/>
      </w:pPr>
      <w:r>
        <w:rPr/>
      </w:r>
    </w:p>
    <w:p>
      <w:pPr>
        <w:pStyle w:val="Normal"/>
        <w:widowControl w:val="false"/>
        <w:numPr>
          <w:ilvl w:val="0"/>
          <w:numId w:val="0"/>
        </w:numPr>
        <w:spacing w:before="64" w:after="108"/>
        <w:ind w:left="142" w:hanging="0"/>
        <w:jc w:val="center"/>
        <w:outlineLvl w:val="0"/>
        <w:rPr>
          <w:b/>
          <w:b/>
          <w:color w:val="000000"/>
        </w:rPr>
      </w:pPr>
      <w:r>
        <w:rPr>
          <w:b/>
          <w:color w:val="000000" w:themeColor="text1"/>
          <w:sz w:val="28"/>
          <w:szCs w:val="28"/>
        </w:rPr>
        <w:t>Раздел 5</w:t>
      </w:r>
      <w:r>
        <w:rPr>
          <w:b/>
          <w:bCs/>
          <w:color w:val="000000" w:themeColor="text1"/>
          <w:spacing w:val="-1"/>
          <w:sz w:val="28"/>
          <w:szCs w:val="28"/>
        </w:rPr>
        <w:t>. Ресурсное обеспечение Программы.</w:t>
      </w:r>
    </w:p>
    <w:p>
      <w:pPr>
        <w:pStyle w:val="Normal"/>
        <w:spacing w:before="0" w:after="0"/>
        <w:ind w:firstLine="708"/>
        <w:contextualSpacing/>
        <w:jc w:val="both"/>
        <w:rPr/>
      </w:pPr>
      <w:r>
        <w:rPr>
          <w:spacing w:val="-1"/>
          <w:sz w:val="28"/>
          <w:szCs w:val="28"/>
        </w:rPr>
        <w:t xml:space="preserve">Реализация Программы осуществляется за счет средств, выделяемых </w:t>
      </w:r>
      <w:r>
        <w:rPr>
          <w:sz w:val="28"/>
          <w:szCs w:val="28"/>
        </w:rPr>
        <w:t>из областного бюджета (субвенции)</w:t>
      </w:r>
      <w:r>
        <w:rPr>
          <w:spacing w:val="-1"/>
          <w:sz w:val="28"/>
          <w:szCs w:val="28"/>
        </w:rPr>
        <w:t xml:space="preserve"> </w:t>
      </w:r>
      <w:r>
        <w:rPr>
          <w:sz w:val="28"/>
          <w:szCs w:val="28"/>
        </w:rPr>
        <w:t xml:space="preserve">на исполнение  переданных  полномочий по осуществлению государственного надзора в сфере охраны окружающей среды, а так же </w:t>
      </w:r>
      <w:r>
        <w:rPr>
          <w:spacing w:val="-1"/>
          <w:sz w:val="28"/>
          <w:szCs w:val="28"/>
        </w:rPr>
        <w:t>ресурсов, выделяемых на основную деятельность  отдела экологии.</w:t>
      </w:r>
    </w:p>
    <w:p>
      <w:pPr>
        <w:pStyle w:val="Normal"/>
        <w:spacing w:before="0" w:after="120"/>
        <w:ind w:right="102" w:firstLine="851"/>
        <w:contextualSpacing/>
        <w:jc w:val="both"/>
        <w:rPr/>
      </w:pPr>
      <w:r>
        <w:rPr>
          <w:spacing w:val="-1"/>
          <w:sz w:val="28"/>
          <w:szCs w:val="28"/>
        </w:rPr>
        <w:t>Дополнительных финансовых и иных ресурсов, необходимых для реализации Программы, не требуется.</w:t>
      </w:r>
    </w:p>
    <w:p>
      <w:pPr>
        <w:pStyle w:val="Normal"/>
        <w:spacing w:before="0" w:after="120"/>
        <w:ind w:right="102" w:firstLine="851"/>
        <w:contextualSpacing/>
        <w:jc w:val="both"/>
        <w:rPr/>
      </w:pPr>
      <w:r>
        <w:rPr>
          <w:spacing w:val="-1"/>
          <w:sz w:val="28"/>
          <w:szCs w:val="28"/>
        </w:rPr>
        <w:t>Организация и проведение профилактических мероприятий осуществляется в соответствии с планом-графиком профилактических мероприятий.</w:t>
      </w:r>
    </w:p>
    <w:p>
      <w:pPr>
        <w:pStyle w:val="Normal"/>
        <w:widowControl w:val="false"/>
        <w:numPr>
          <w:ilvl w:val="0"/>
          <w:numId w:val="0"/>
        </w:numPr>
        <w:spacing w:before="108" w:after="108"/>
        <w:ind w:left="0" w:hanging="0"/>
        <w:jc w:val="center"/>
        <w:outlineLvl w:val="0"/>
        <w:rPr>
          <w:b/>
          <w:b/>
          <w:color w:val="000000"/>
        </w:rPr>
      </w:pPr>
      <w:r>
        <w:rPr>
          <w:b/>
          <w:color w:val="000000"/>
        </w:rPr>
      </w:r>
    </w:p>
    <w:p>
      <w:pPr>
        <w:pStyle w:val="Normal"/>
        <w:widowControl w:val="false"/>
        <w:numPr>
          <w:ilvl w:val="0"/>
          <w:numId w:val="0"/>
        </w:numPr>
        <w:spacing w:before="108" w:after="108"/>
        <w:ind w:left="0" w:hanging="0"/>
        <w:jc w:val="center"/>
        <w:outlineLvl w:val="0"/>
        <w:rPr>
          <w:b/>
          <w:b/>
          <w:color w:val="000000"/>
        </w:rPr>
      </w:pPr>
      <w:r>
        <w:rPr>
          <w:b/>
          <w:color w:val="000000"/>
        </w:rPr>
      </w:r>
    </w:p>
    <w:p>
      <w:pPr>
        <w:pStyle w:val="Normal"/>
        <w:widowControl w:val="false"/>
        <w:numPr>
          <w:ilvl w:val="0"/>
          <w:numId w:val="0"/>
        </w:numPr>
        <w:spacing w:before="108" w:after="108"/>
        <w:ind w:left="0" w:hanging="0"/>
        <w:jc w:val="center"/>
        <w:outlineLvl w:val="0"/>
        <w:rPr>
          <w:b/>
          <w:b/>
          <w:color w:val="000000"/>
        </w:rPr>
      </w:pPr>
      <w:r>
        <w:rPr>
          <w:b/>
          <w:color w:val="000000" w:themeColor="text1"/>
          <w:sz w:val="28"/>
          <w:szCs w:val="28"/>
        </w:rPr>
        <w:t>Раздел 6</w:t>
      </w:r>
      <w:r>
        <w:rPr>
          <w:b/>
          <w:bCs/>
          <w:color w:val="000000" w:themeColor="text1"/>
          <w:spacing w:val="-1"/>
          <w:sz w:val="28"/>
          <w:szCs w:val="28"/>
        </w:rPr>
        <w:t xml:space="preserve">. Механизм реализации </w:t>
      </w:r>
      <w:r>
        <w:rPr>
          <w:b/>
          <w:bCs/>
          <w:color w:val="000000" w:themeColor="text1"/>
          <w:sz w:val="28"/>
          <w:szCs w:val="28"/>
        </w:rPr>
        <w:t>Программы.</w:t>
      </w:r>
    </w:p>
    <w:p>
      <w:pPr>
        <w:pStyle w:val="Normal"/>
        <w:spacing w:before="200" w:after="0"/>
        <w:ind w:firstLine="540"/>
        <w:jc w:val="both"/>
        <w:rPr/>
      </w:pPr>
      <w:r>
        <w:rPr>
          <w:sz w:val="28"/>
          <w:szCs w:val="28"/>
        </w:rPr>
        <w:t>Формирование планов профилактических мероприятий осуществляется ежегодно в соответствии с требованиями</w:t>
      </w:r>
      <w:r>
        <w:rPr>
          <w:color w:val="000000"/>
          <w:sz w:val="28"/>
          <w:szCs w:val="28"/>
        </w:rPr>
        <w:t xml:space="preserve"> </w:t>
      </w:r>
      <w:hyperlink r:id="rId14" w:tgtFrame="consultantplus://offline/ref=B67DE09DB20FBA2A862EDF179AF93EAAA7583FEBB8AECC6EF279D8DB6F7EEC635A33D922D459E0374C53AD3ACCE51E0DA5971E1F8Eg9q0G">
        <w:r>
          <w:rPr>
            <w:color w:val="000000"/>
            <w:sz w:val="28"/>
            <w:szCs w:val="28"/>
          </w:rPr>
          <w:t xml:space="preserve">статьи </w:t>
        </w:r>
      </w:hyperlink>
      <w:r>
        <w:rPr>
          <w:sz w:val="28"/>
          <w:szCs w:val="28"/>
        </w:rPr>
        <w:t>44 Федерального закона от 31.07.2020 № 248-ФЗ «О государственном  контроле (надзоре) и муниципальном контроле в Российской Федерации», постановления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pPr>
        <w:pStyle w:val="Normal"/>
        <w:widowControl w:val="false"/>
        <w:numPr>
          <w:ilvl w:val="0"/>
          <w:numId w:val="0"/>
        </w:numPr>
        <w:ind w:left="0" w:right="79" w:firstLine="567"/>
        <w:jc w:val="both"/>
        <w:outlineLvl w:val="0"/>
        <w:rPr>
          <w:color w:val="26282F"/>
        </w:rPr>
      </w:pPr>
      <w:r>
        <w:rPr>
          <w:color w:val="26282F"/>
        </w:rPr>
      </w:r>
    </w:p>
    <w:p>
      <w:pPr>
        <w:pStyle w:val="Normal"/>
        <w:ind w:firstLine="540"/>
        <w:jc w:val="both"/>
        <w:rPr>
          <w:color w:val="000000"/>
        </w:rPr>
      </w:pPr>
      <w:r>
        <w:rPr>
          <w:color w:val="000000"/>
          <w:sz w:val="28"/>
          <w:szCs w:val="28"/>
        </w:rPr>
        <w:t>Ежегодные планы профилактических мероприятий формируются по результатам анализа соблюдения обязательных требований при осуществлении государственного экологического контроля (</w:t>
      </w:r>
      <w:bookmarkStart w:id="0" w:name="_GoBack"/>
      <w:bookmarkEnd w:id="0"/>
      <w:r>
        <w:rPr>
          <w:color w:val="000000"/>
          <w:sz w:val="28"/>
          <w:szCs w:val="28"/>
        </w:rPr>
        <w:t>надзора) в сфере охраны окружающей среды.</w:t>
      </w:r>
    </w:p>
    <w:p>
      <w:pPr>
        <w:pStyle w:val="Normal"/>
        <w:ind w:firstLine="540"/>
        <w:jc w:val="both"/>
        <w:rPr>
          <w:color w:val="000000"/>
        </w:rPr>
      </w:pPr>
      <w:r>
        <w:rPr>
          <w:color w:val="000000"/>
          <w:sz w:val="28"/>
          <w:szCs w:val="28"/>
        </w:rPr>
        <w:t xml:space="preserve">Корректировка планов профилактических мероприятий при необходимости осуществляется ежеквартально не позднее 20 числа месяца квартала, следующего за отчетным. </w:t>
      </w:r>
    </w:p>
    <w:p>
      <w:pPr>
        <w:pStyle w:val="Normal"/>
        <w:ind w:firstLine="540"/>
        <w:jc w:val="both"/>
        <w:rPr>
          <w:color w:val="000000"/>
        </w:rPr>
      </w:pPr>
      <w:r>
        <w:rPr>
          <w:color w:val="000000"/>
          <w:sz w:val="28"/>
          <w:szCs w:val="28"/>
        </w:rPr>
        <w:t xml:space="preserve">Руководителем Программы является начальник отдела по экологии. </w:t>
      </w:r>
    </w:p>
    <w:p>
      <w:pPr>
        <w:pStyle w:val="Normal"/>
        <w:ind w:firstLine="540"/>
        <w:jc w:val="both"/>
        <w:rPr>
          <w:color w:val="000000"/>
          <w:sz w:val="28"/>
        </w:rPr>
      </w:pPr>
      <w:r>
        <w:rPr>
          <w:color w:val="000000"/>
          <w:sz w:val="28"/>
          <w:szCs w:val="28"/>
        </w:rPr>
        <w:t>В обязанности руководителя Программы входит организация и координирование   деятельности отдела по экологии и природопользованию  по реализации Программы.</w:t>
      </w:r>
    </w:p>
    <w:p>
      <w:pPr>
        <w:pStyle w:val="Normal"/>
        <w:ind w:firstLine="540"/>
        <w:jc w:val="both"/>
        <w:rPr>
          <w:sz w:val="28"/>
        </w:rPr>
      </w:pPr>
      <w:r>
        <w:rPr>
          <w:color w:val="000000"/>
          <w:sz w:val="28"/>
          <w:szCs w:val="28"/>
        </w:rPr>
        <w:t xml:space="preserve">Перечень должностных лиц, ответственных за организацию  и проведение мероприятий Программы, представлен  в  плане мероприятий </w:t>
      </w:r>
      <w:r>
        <w:rPr>
          <w:sz w:val="28"/>
          <w:szCs w:val="28"/>
        </w:rPr>
        <w:t xml:space="preserve">по профилактике </w:t>
      </w:r>
      <w:r>
        <w:rPr>
          <w:rFonts w:eastAsia="Calibri"/>
          <w:sz w:val="28"/>
          <w:szCs w:val="28"/>
        </w:rPr>
        <w:t>рисков причинения вреда  охраняемым законом ценностям вследствие нарушений обязательных требований законодательства в сфере охраны окружающей среды</w:t>
      </w:r>
      <w:r>
        <w:rPr>
          <w:sz w:val="28"/>
          <w:szCs w:val="28"/>
        </w:rPr>
        <w:t xml:space="preserve"> на территории муниципального района Алексеевский Самарской области.</w:t>
      </w:r>
    </w:p>
    <w:sectPr>
      <w:headerReference w:type="default" r:id="rId15"/>
      <w:headerReference w:type="first" r:id="rId16"/>
      <w:footerReference w:type="default" r:id="rId17"/>
      <w:footerReference w:type="first" r:id="rId18"/>
      <w:type w:val="nextPage"/>
      <w:pgSz w:w="11906" w:h="16838"/>
      <w:pgMar w:left="1134" w:right="1133" w:gutter="0" w:header="720" w:top="1134" w:footer="720" w:bottom="1440"/>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Garamond">
    <w:charset w:val="01"/>
    <w:family w:val="roman"/>
    <w:pitch w:val="default"/>
  </w:font>
  <w:font w:name="Arial">
    <w:charset w:val="01"/>
    <w:family w:val="roman"/>
    <w:pitch w:val="default"/>
  </w:font>
  <w:font w:name="Calibri">
    <w:charset w:val="01"/>
    <w:family w:val="roman"/>
    <w:pitch w:val="default"/>
  </w:font>
  <w:font w:name="Tahoma">
    <w:charset w:val="01"/>
    <w:family w:val="roman"/>
    <w:pitch w:val="default"/>
  </w:font>
  <w:font w:name="Symbol">
    <w:charset w:val="01"/>
    <w:family w:val="roman"/>
    <w:pitch w:val="default"/>
  </w:font>
  <w:font w:name="Courier New">
    <w:charset w:val="01"/>
    <w:family w:val="roman"/>
    <w:pitch w:val="default"/>
  </w:font>
  <w:font w:name="Wingdings">
    <w:charset w:val="01"/>
    <w:family w:val="roman"/>
    <w:pitch w:val="default"/>
  </w:font>
  <w:font w:name="PT Astra Serif">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2"/>
      <w:jc w:val="center"/>
      <w:rPr/>
    </w:pPr>
    <w:r>
      <w:rPr/>
      <w:fldChar w:fldCharType="begin"/>
    </w:r>
    <w:r>
      <w:rPr/>
      <w:instrText xml:space="preserve"> PAGE </w:instrText>
    </w:r>
    <w:r>
      <w:rPr/>
      <w:fldChar w:fldCharType="separate"/>
    </w:r>
    <w:r>
      <w:rPr/>
      <w:t>10</w:t>
    </w:r>
    <w:r>
      <w:rPr/>
      <w:fldChar w:fldCharType="end"/>
    </w:r>
  </w:p>
  <w:p>
    <w:pPr>
      <w:pStyle w:val="Style22"/>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2"/>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lang w:val="ru-RU"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1">
    <w:name w:val="Heading 1"/>
    <w:basedOn w:val="Style28"/>
    <w:qFormat/>
    <w:pPr>
      <w:keepNext w:val="true"/>
      <w:jc w:val="center"/>
      <w:outlineLvl w:val="0"/>
    </w:pPr>
    <w:rPr>
      <w:sz w:val="24"/>
    </w:rPr>
  </w:style>
  <w:style w:type="paragraph" w:styleId="2">
    <w:name w:val="Heading 2"/>
    <w:basedOn w:val="Style28"/>
    <w:qFormat/>
    <w:pPr>
      <w:keepNext w:val="true"/>
      <w:jc w:val="center"/>
      <w:outlineLvl w:val="1"/>
    </w:pPr>
    <w:rPr>
      <w:rFonts w:ascii="Garamond" w:hAnsi="Garamond"/>
      <w:b/>
      <w:sz w:val="24"/>
    </w:rPr>
  </w:style>
  <w:style w:type="paragraph" w:styleId="3">
    <w:name w:val="Heading 3"/>
    <w:basedOn w:val="Style28"/>
    <w:qFormat/>
    <w:pPr>
      <w:keepNext w:val="true"/>
      <w:jc w:val="center"/>
      <w:outlineLvl w:val="2"/>
    </w:pPr>
    <w:rPr>
      <w:rFonts w:ascii="Garamond" w:hAnsi="Garamond"/>
      <w:b/>
      <w:sz w:val="18"/>
    </w:rPr>
  </w:style>
  <w:style w:type="paragraph" w:styleId="4">
    <w:name w:val="Heading 4"/>
    <w:basedOn w:val="Style28"/>
    <w:qFormat/>
    <w:pPr>
      <w:keepNext w:val="true"/>
      <w:jc w:val="both"/>
      <w:outlineLvl w:val="3"/>
    </w:pPr>
    <w:rPr>
      <w:sz w:val="28"/>
    </w:rPr>
  </w:style>
  <w:style w:type="paragraph" w:styleId="5">
    <w:name w:val="Heading 5"/>
    <w:basedOn w:val="Style28"/>
    <w:qFormat/>
    <w:pPr>
      <w:keepNext w:val="true"/>
      <w:jc w:val="both"/>
      <w:outlineLvl w:val="4"/>
    </w:pPr>
    <w:rPr>
      <w:b/>
      <w:bCs/>
      <w:sz w:val="28"/>
    </w:rPr>
  </w:style>
  <w:style w:type="paragraph" w:styleId="6">
    <w:name w:val="Heading 6"/>
    <w:basedOn w:val="Style28"/>
    <w:qFormat/>
    <w:pPr>
      <w:keepNext w:val="true"/>
      <w:jc w:val="both"/>
      <w:outlineLvl w:val="5"/>
    </w:pPr>
    <w:rPr>
      <w:b/>
      <w:bCs/>
      <w:sz w:val="24"/>
    </w:rPr>
  </w:style>
  <w:style w:type="paragraph" w:styleId="7">
    <w:name w:val="Heading 7"/>
    <w:uiPriority w:val="9"/>
    <w:unhideWhenUsed/>
    <w:qFormat/>
    <w:pPr>
      <w:keepNext w:val="true"/>
      <w:keepLines/>
      <w:widowControl/>
      <w:bidi w:val="0"/>
      <w:spacing w:before="320" w:after="200"/>
      <w:jc w:val="left"/>
      <w:outlineLvl w:val="6"/>
    </w:pPr>
    <w:rPr>
      <w:rFonts w:ascii="Arial" w:hAnsi="Arial" w:eastAsia="Arial" w:cs="Arial"/>
      <w:b/>
      <w:bCs/>
      <w:i/>
      <w:iCs/>
      <w:color w:val="auto"/>
      <w:kern w:val="0"/>
      <w:sz w:val="22"/>
      <w:szCs w:val="22"/>
      <w:lang w:val="ru-RU" w:eastAsia="zh-CN" w:bidi="ar-SA"/>
    </w:rPr>
  </w:style>
  <w:style w:type="paragraph" w:styleId="8">
    <w:name w:val="Heading 8"/>
    <w:basedOn w:val="Style28"/>
    <w:semiHidden/>
    <w:qFormat/>
    <w:pPr>
      <w:spacing w:before="240" w:after="60"/>
      <w:outlineLvl w:val="7"/>
    </w:pPr>
    <w:rPr>
      <w:rFonts w:ascii="Calibri" w:hAnsi="Calibri" w:eastAsia="Times New Roman"/>
      <w:i/>
      <w:iCs/>
      <w:sz w:val="24"/>
      <w:szCs w:val="24"/>
    </w:rPr>
  </w:style>
  <w:style w:type="paragraph" w:styleId="9">
    <w:name w:val="Heading 9"/>
    <w:uiPriority w:val="9"/>
    <w:unhideWhenUsed/>
    <w:qFormat/>
    <w:pPr>
      <w:keepNext w:val="true"/>
      <w:keepLines/>
      <w:widowControl/>
      <w:bidi w:val="0"/>
      <w:spacing w:before="320" w:after="200"/>
      <w:jc w:val="left"/>
      <w:outlineLvl w:val="8"/>
    </w:pPr>
    <w:rPr>
      <w:rFonts w:ascii="Arial" w:hAnsi="Arial" w:eastAsia="Arial" w:cs="Arial"/>
      <w:i/>
      <w:iCs/>
      <w:color w:val="auto"/>
      <w:kern w:val="0"/>
      <w:sz w:val="21"/>
      <w:szCs w:val="21"/>
      <w:lang w:val="ru-RU" w:eastAsia="zh-CN" w:bidi="ar-SA"/>
    </w:rPr>
  </w:style>
  <w:style w:type="character" w:styleId="Style5">
    <w:name w:val="Интернет-ссылка"/>
    <w:uiPriority w:val="99"/>
    <w:unhideWhenUsed/>
    <w:rPr>
      <w:color w:val="0000FF" w:themeColor="hyperlink"/>
      <w:u w:val="single"/>
    </w:rPr>
  </w:style>
  <w:style w:type="character" w:styleId="Style6">
    <w:name w:val="Привязка сноски"/>
    <w:rPr>
      <w:vertAlign w:val="superscript"/>
    </w:rPr>
  </w:style>
  <w:style w:type="character" w:styleId="FootnoteCharacters">
    <w:name w:val="Footnote Characters"/>
    <w:basedOn w:val="DefaultParagraphFont"/>
    <w:uiPriority w:val="99"/>
    <w:unhideWhenUsed/>
    <w:qFormat/>
    <w:rPr>
      <w:vertAlign w:val="superscript"/>
    </w:rPr>
  </w:style>
  <w:style w:type="character" w:styleId="Style7">
    <w:name w:val="Привязка концевой сноски"/>
    <w:rPr>
      <w:vertAlign w:val="superscript"/>
    </w:rPr>
  </w:style>
  <w:style w:type="character" w:styleId="EndnoteCharacters">
    <w:name w:val="Endnote Characters"/>
    <w:basedOn w:val="DefaultParagraphFont"/>
    <w:uiPriority w:val="99"/>
    <w:semiHidden/>
    <w:unhideWhenUsed/>
    <w:qFormat/>
    <w:rPr>
      <w:vertAlign w:val="superscript"/>
    </w:rPr>
  </w:style>
  <w:style w:type="character" w:styleId="Heading1Char">
    <w:name w:val="Heading 1 Char"/>
    <w:uiPriority w:val="9"/>
    <w:qFormat/>
    <w:rPr>
      <w:rFonts w:ascii="Arial" w:hAnsi="Arial" w:eastAsia="Arial" w:cs="Arial"/>
      <w:sz w:val="40"/>
      <w:szCs w:val="40"/>
    </w:rPr>
  </w:style>
  <w:style w:type="character" w:styleId="Heading2Char">
    <w:name w:val="Heading 2 Char"/>
    <w:uiPriority w:val="9"/>
    <w:qFormat/>
    <w:rPr>
      <w:rFonts w:ascii="Arial" w:hAnsi="Arial" w:eastAsia="Arial" w:cs="Arial"/>
      <w:sz w:val="34"/>
    </w:rPr>
  </w:style>
  <w:style w:type="character" w:styleId="Heading3Char">
    <w:name w:val="Heading 3 Char"/>
    <w:uiPriority w:val="9"/>
    <w:qFormat/>
    <w:rPr>
      <w:rFonts w:ascii="Arial" w:hAnsi="Arial" w:eastAsia="Arial" w:cs="Arial"/>
      <w:sz w:val="30"/>
      <w:szCs w:val="30"/>
    </w:rPr>
  </w:style>
  <w:style w:type="character" w:styleId="Heading4Char">
    <w:name w:val="Heading 4 Char"/>
    <w:uiPriority w:val="9"/>
    <w:qFormat/>
    <w:rPr>
      <w:rFonts w:ascii="Arial" w:hAnsi="Arial" w:eastAsia="Arial" w:cs="Arial"/>
      <w:b/>
      <w:bCs/>
      <w:sz w:val="26"/>
      <w:szCs w:val="26"/>
    </w:rPr>
  </w:style>
  <w:style w:type="character" w:styleId="Heading5Char">
    <w:name w:val="Heading 5 Char"/>
    <w:uiPriority w:val="9"/>
    <w:qFormat/>
    <w:rPr>
      <w:rFonts w:ascii="Arial" w:hAnsi="Arial" w:eastAsia="Arial" w:cs="Arial"/>
      <w:b/>
      <w:bCs/>
      <w:sz w:val="24"/>
      <w:szCs w:val="24"/>
    </w:rPr>
  </w:style>
  <w:style w:type="character" w:styleId="Heading6Char">
    <w:name w:val="Heading 6 Char"/>
    <w:uiPriority w:val="9"/>
    <w:qFormat/>
    <w:rPr>
      <w:rFonts w:ascii="Arial" w:hAnsi="Arial" w:eastAsia="Arial" w:cs="Arial"/>
      <w:b/>
      <w:bCs/>
      <w:sz w:val="22"/>
      <w:szCs w:val="22"/>
    </w:rPr>
  </w:style>
  <w:style w:type="character" w:styleId="Heading7Char">
    <w:name w:val="Heading 7 Char"/>
    <w:uiPriority w:val="9"/>
    <w:qFormat/>
    <w:rPr>
      <w:rFonts w:ascii="Arial" w:hAnsi="Arial" w:eastAsia="Arial" w:cs="Arial"/>
      <w:b/>
      <w:bCs/>
      <w:i/>
      <w:iCs/>
      <w:sz w:val="22"/>
      <w:szCs w:val="22"/>
    </w:rPr>
  </w:style>
  <w:style w:type="character" w:styleId="Heading8Char">
    <w:name w:val="Heading 8 Char"/>
    <w:uiPriority w:val="9"/>
    <w:qFormat/>
    <w:rPr>
      <w:rFonts w:ascii="Arial" w:hAnsi="Arial" w:eastAsia="Arial" w:cs="Arial"/>
      <w:i/>
      <w:iCs/>
      <w:sz w:val="22"/>
      <w:szCs w:val="22"/>
    </w:rPr>
  </w:style>
  <w:style w:type="character" w:styleId="Heading9Char">
    <w:name w:val="Heading 9 Char"/>
    <w:uiPriority w:val="9"/>
    <w:qFormat/>
    <w:rPr>
      <w:rFonts w:ascii="Arial" w:hAnsi="Arial" w:eastAsia="Arial" w:cs="Arial"/>
      <w:i/>
      <w:iCs/>
      <w:sz w:val="21"/>
      <w:szCs w:val="21"/>
    </w:rPr>
  </w:style>
  <w:style w:type="character" w:styleId="TitleChar">
    <w:name w:val="Title Char"/>
    <w:uiPriority w:val="10"/>
    <w:qFormat/>
    <w:rPr>
      <w:sz w:val="48"/>
      <w:szCs w:val="48"/>
    </w:rPr>
  </w:style>
  <w:style w:type="character" w:styleId="SubtitleChar">
    <w:name w:val="Subtitle Char"/>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uiPriority w:val="99"/>
    <w:qFormat/>
    <w:rPr/>
  </w:style>
  <w:style w:type="character" w:styleId="FooterChar">
    <w:name w:val="Footer Char"/>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8">
    <w:name w:val="Основной шрифт абзаца"/>
    <w:semiHidden/>
    <w:qFormat/>
    <w:rPr/>
  </w:style>
  <w:style w:type="character" w:styleId="81">
    <w:name w:val="Заголовок 8 Знак"/>
    <w:semiHidden/>
    <w:qFormat/>
    <w:rPr>
      <w:rFonts w:ascii="Calibri" w:hAnsi="Calibri" w:eastAsia="Times New Roman"/>
      <w:i/>
      <w:iCs/>
      <w:sz w:val="24"/>
      <w:szCs w:val="24"/>
    </w:rPr>
  </w:style>
  <w:style w:type="character" w:styleId="Style9">
    <w:name w:val="Верхний колонтитул Знак"/>
    <w:basedOn w:val="Style8"/>
    <w:qFormat/>
    <w:rPr/>
  </w:style>
  <w:style w:type="character" w:styleId="Style10">
    <w:name w:val="Нижний колонтитул Знак"/>
    <w:basedOn w:val="Style8"/>
    <w:qFormat/>
    <w:rPr/>
  </w:style>
  <w:style w:type="character" w:styleId="Style11">
    <w:name w:val="Текст выноски Знак"/>
    <w:semiHidden/>
    <w:qFormat/>
    <w:rPr>
      <w:rFonts w:ascii="Tahoma" w:hAnsi="Tahoma"/>
      <w:sz w:val="16"/>
      <w:szCs w:val="16"/>
    </w:rPr>
  </w:style>
  <w:style w:type="character" w:styleId="Style12">
    <w:name w:val="Гиперссылка"/>
    <w:qFormat/>
    <w:rPr>
      <w:color w:val="0000FF"/>
      <w:u w:val="single"/>
    </w:rPr>
  </w:style>
  <w:style w:type="character" w:styleId="DefaultParagraphFont" w:default="1">
    <w:name w:val="Default Paragraph Font"/>
    <w:uiPriority w:val="1"/>
    <w:semiHidden/>
    <w:unhideWhenUsed/>
    <w:qFormat/>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paragraph" w:styleId="Style13">
    <w:name w:val="Заголовок"/>
    <w:basedOn w:val="Normal"/>
    <w:next w:val="Style14"/>
    <w:qFormat/>
    <w:pPr>
      <w:keepNext w:val="true"/>
      <w:spacing w:before="240" w:after="120"/>
    </w:pPr>
    <w:rPr>
      <w:rFonts w:ascii="PT Astra Serif" w:hAnsi="PT Astra Serif" w:eastAsia="Tahoma" w:cs="Noto Sans Devanagari"/>
      <w:sz w:val="28"/>
      <w:szCs w:val="28"/>
    </w:rPr>
  </w:style>
  <w:style w:type="paragraph" w:styleId="Style14">
    <w:name w:val="Body Text"/>
    <w:basedOn w:val="Style28"/>
    <w:pPr/>
    <w:rPr>
      <w:sz w:val="28"/>
    </w:rPr>
  </w:style>
  <w:style w:type="paragraph" w:styleId="Style15">
    <w:name w:val="List"/>
    <w:basedOn w:val="Style14"/>
    <w:pPr/>
    <w:rPr>
      <w:rFonts w:ascii="PT Astra Serif" w:hAnsi="PT Astra Serif" w:cs="Noto Sans Devanagari"/>
    </w:rPr>
  </w:style>
  <w:style w:type="paragraph" w:styleId="Style16">
    <w:name w:val="Caption"/>
    <w:uiPriority w:val="35"/>
    <w:semiHidden/>
    <w:unhideWhenUsed/>
    <w:qFormat/>
    <w:pPr>
      <w:widowControl/>
      <w:bidi w:val="0"/>
      <w:spacing w:lineRule="auto" w:line="276" w:before="0" w:after="0"/>
      <w:jc w:val="left"/>
    </w:pPr>
    <w:rPr>
      <w:rFonts w:ascii="Times New Roman" w:hAnsi="Times New Roman" w:eastAsia="Times New Roman" w:cs="Times New Roman"/>
      <w:b/>
      <w:bCs/>
      <w:color w:val="4F81BD" w:themeColor="accent1"/>
      <w:kern w:val="0"/>
      <w:sz w:val="18"/>
      <w:szCs w:val="18"/>
      <w:lang w:val="ru-RU" w:eastAsia="zh-CN" w:bidi="ar-SA"/>
    </w:rPr>
  </w:style>
  <w:style w:type="paragraph" w:styleId="Style17">
    <w:name w:val="Указатель"/>
    <w:basedOn w:val="Normal"/>
    <w:qFormat/>
    <w:pPr>
      <w:suppressLineNumbers/>
    </w:pPr>
    <w:rPr>
      <w:rFonts w:ascii="PT Astra Serif" w:hAnsi="PT Astra Serif" w:cs="Noto Sans Devanagari"/>
    </w:rPr>
  </w:style>
  <w:style w:type="paragraph" w:styleId="Tableoffigures">
    <w:name w:val="table of figures"/>
    <w:basedOn w:val="Normal"/>
    <w:next w:val="Normal"/>
    <w:uiPriority w:val="99"/>
    <w:unhideWhenUsed/>
    <w:qFormat/>
    <w:pPr>
      <w:spacing w:before="0" w:afterAutospacing="0" w:after="0"/>
    </w:pPr>
    <w:rPr/>
  </w:style>
  <w:style w:type="paragraph" w:styleId="ListParagraph">
    <w:name w:val="List Paragraph"/>
    <w:uiPriority w:val="34"/>
    <w:qFormat/>
    <w:pPr>
      <w:widowControl/>
      <w:bidi w:val="0"/>
      <w:spacing w:before="0" w:after="0"/>
      <w:ind w:left="720" w:hanging="0"/>
      <w:contextualSpacing/>
      <w:jc w:val="left"/>
    </w:pPr>
    <w:rPr>
      <w:rFonts w:ascii="Times New Roman" w:hAnsi="Times New Roman" w:eastAsia="Times New Roman" w:cs="Times New Roman"/>
      <w:color w:val="auto"/>
      <w:kern w:val="0"/>
      <w:sz w:val="20"/>
      <w:szCs w:val="20"/>
      <w:lang w:val="ru-RU" w:eastAsia="zh-CN" w:bidi="ar-SA"/>
    </w:rPr>
  </w:style>
  <w:style w:type="paragraph" w:styleId="NoSpacing">
    <w:name w:val="No Spacing"/>
    <w:uiPriority w:val="1"/>
    <w:qFormat/>
    <w:pPr>
      <w:widowControl/>
      <w:bidi w:val="0"/>
      <w:spacing w:lineRule="auto" w:line="240" w:before="0" w:after="0"/>
      <w:jc w:val="left"/>
    </w:pPr>
    <w:rPr>
      <w:rFonts w:ascii="Times New Roman" w:hAnsi="Times New Roman" w:eastAsia="Times New Roman" w:cs="Times New Roman"/>
      <w:color w:val="auto"/>
      <w:kern w:val="0"/>
      <w:sz w:val="20"/>
      <w:szCs w:val="20"/>
      <w:lang w:val="ru-RU" w:eastAsia="zh-CN" w:bidi="ar-SA"/>
    </w:rPr>
  </w:style>
  <w:style w:type="paragraph" w:styleId="Style18">
    <w:name w:val="Title"/>
    <w:uiPriority w:val="10"/>
    <w:qFormat/>
    <w:pPr>
      <w:widowControl/>
      <w:bidi w:val="0"/>
      <w:spacing w:before="300" w:after="200"/>
      <w:contextualSpacing/>
      <w:jc w:val="left"/>
    </w:pPr>
    <w:rPr>
      <w:rFonts w:ascii="Times New Roman" w:hAnsi="Times New Roman" w:eastAsia="Times New Roman" w:cs="Times New Roman"/>
      <w:color w:val="auto"/>
      <w:kern w:val="0"/>
      <w:sz w:val="48"/>
      <w:szCs w:val="48"/>
      <w:lang w:val="ru-RU" w:eastAsia="zh-CN" w:bidi="ar-SA"/>
    </w:rPr>
  </w:style>
  <w:style w:type="paragraph" w:styleId="Style19">
    <w:name w:val="Subtitle"/>
    <w:uiPriority w:val="11"/>
    <w:qFormat/>
    <w:pPr>
      <w:widowControl/>
      <w:bidi w:val="0"/>
      <w:spacing w:before="200" w:after="200"/>
      <w:jc w:val="left"/>
    </w:pPr>
    <w:rPr>
      <w:rFonts w:ascii="Times New Roman" w:hAnsi="Times New Roman" w:eastAsia="Times New Roman" w:cs="Times New Roman"/>
      <w:color w:val="auto"/>
      <w:kern w:val="0"/>
      <w:sz w:val="24"/>
      <w:szCs w:val="24"/>
      <w:lang w:val="ru-RU" w:eastAsia="zh-CN" w:bidi="ar-SA"/>
    </w:rPr>
  </w:style>
  <w:style w:type="paragraph" w:styleId="Quote">
    <w:name w:val="Quote"/>
    <w:uiPriority w:val="29"/>
    <w:qFormat/>
    <w:pPr>
      <w:widowControl/>
      <w:bidi w:val="0"/>
      <w:spacing w:before="0" w:after="0"/>
      <w:ind w:left="720" w:right="720" w:hanging="0"/>
      <w:jc w:val="left"/>
    </w:pPr>
    <w:rPr>
      <w:rFonts w:ascii="Times New Roman" w:hAnsi="Times New Roman" w:eastAsia="Times New Roman" w:cs="Times New Roman"/>
      <w:i/>
      <w:color w:val="auto"/>
      <w:kern w:val="0"/>
      <w:sz w:val="20"/>
      <w:szCs w:val="20"/>
      <w:lang w:val="ru-RU" w:eastAsia="zh-CN" w:bidi="ar-SA"/>
    </w:rPr>
  </w:style>
  <w:style w:type="paragraph" w:styleId="IntenseQuote">
    <w:name w:val="Intense Quote"/>
    <w:uiPriority w:val="30"/>
    <w:qFormat/>
    <w:pPr>
      <w:widowControl/>
      <w:pBdr>
        <w:top w:val="single" w:sz="4" w:space="5" w:color="FFFFFF"/>
        <w:left w:val="single" w:sz="4" w:space="10" w:color="FFFFFF"/>
        <w:bottom w:val="single" w:sz="4" w:space="5" w:color="FFFFFF"/>
        <w:right w:val="single" w:sz="4" w:space="10" w:color="FFFFFF"/>
      </w:pBdr>
      <w:shd w:val="clear" w:color="F2F2F2" w:fill="F2F2F2"/>
      <w:bidi w:val="0"/>
      <w:spacing w:before="0" w:after="0"/>
      <w:ind w:left="720" w:right="720" w:hanging="0"/>
      <w:jc w:val="left"/>
    </w:pPr>
    <w:rPr>
      <w:rFonts w:ascii="Times New Roman" w:hAnsi="Times New Roman" w:eastAsia="Times New Roman" w:cs="Times New Roman"/>
      <w:i/>
      <w:color w:val="auto"/>
      <w:kern w:val="0"/>
      <w:sz w:val="20"/>
      <w:szCs w:val="20"/>
      <w:lang w:val="ru-RU" w:eastAsia="zh-CN" w:bidi="ar-SA"/>
    </w:rPr>
  </w:style>
  <w:style w:type="paragraph" w:styleId="Style20">
    <w:name w:val="Верхний и нижний колонтитулы"/>
    <w:basedOn w:val="Normal"/>
    <w:qFormat/>
    <w:pPr/>
    <w:rPr/>
  </w:style>
  <w:style w:type="paragraph" w:styleId="Style21">
    <w:name w:val="Колонтитул"/>
    <w:basedOn w:val="Normal"/>
    <w:qFormat/>
    <w:pPr/>
    <w:rPr/>
  </w:style>
  <w:style w:type="paragraph" w:styleId="Style22">
    <w:name w:val="Header"/>
    <w:basedOn w:val="Style28"/>
    <w:pPr>
      <w:tabs>
        <w:tab w:val="clear" w:pos="708"/>
        <w:tab w:val="center" w:pos="4677" w:leader="none"/>
        <w:tab w:val="right" w:pos="9355" w:leader="none"/>
      </w:tabs>
    </w:pPr>
    <w:rPr/>
  </w:style>
  <w:style w:type="paragraph" w:styleId="Style23">
    <w:name w:val="Footer"/>
    <w:basedOn w:val="Style28"/>
    <w:pPr>
      <w:tabs>
        <w:tab w:val="clear" w:pos="708"/>
        <w:tab w:val="center" w:pos="4677" w:leader="none"/>
        <w:tab w:val="right" w:pos="9355" w:leader="none"/>
      </w:tabs>
    </w:pPr>
    <w:rPr/>
  </w:style>
  <w:style w:type="paragraph" w:styleId="Style24">
    <w:name w:val="Footnote Text"/>
    <w:uiPriority w:val="99"/>
    <w:semiHidden/>
    <w:unhideWhenUsed/>
    <w:pPr>
      <w:widowControl/>
      <w:bidi w:val="0"/>
      <w:spacing w:lineRule="auto" w:line="240" w:before="0" w:after="40"/>
      <w:jc w:val="left"/>
    </w:pPr>
    <w:rPr>
      <w:rFonts w:ascii="Times New Roman" w:hAnsi="Times New Roman" w:eastAsia="Times New Roman" w:cs="Times New Roman"/>
      <w:color w:val="auto"/>
      <w:kern w:val="0"/>
      <w:sz w:val="18"/>
      <w:szCs w:val="20"/>
      <w:lang w:val="ru-RU" w:eastAsia="zh-CN" w:bidi="ar-SA"/>
    </w:rPr>
  </w:style>
  <w:style w:type="paragraph" w:styleId="Style25">
    <w:name w:val="Endnote Text"/>
    <w:uiPriority w:val="99"/>
    <w:semiHidden/>
    <w:unhideWhenUsed/>
    <w:pPr>
      <w:widowControl/>
      <w:bidi w:val="0"/>
      <w:spacing w:lineRule="auto" w:line="240" w:before="0" w:after="0"/>
      <w:jc w:val="left"/>
    </w:pPr>
    <w:rPr>
      <w:rFonts w:ascii="Times New Roman" w:hAnsi="Times New Roman" w:eastAsia="Times New Roman" w:cs="Times New Roman"/>
      <w:color w:val="auto"/>
      <w:kern w:val="0"/>
      <w:sz w:val="20"/>
      <w:szCs w:val="20"/>
      <w:lang w:val="ru-RU" w:eastAsia="zh-CN" w:bidi="ar-SA"/>
    </w:rPr>
  </w:style>
  <w:style w:type="paragraph" w:styleId="11">
    <w:name w:val="TOC 1"/>
    <w:uiPriority w:val="39"/>
    <w:unhideWhenUsed/>
    <w:pPr>
      <w:widowControl/>
      <w:bidi w:val="0"/>
      <w:spacing w:before="0" w:after="57"/>
      <w:ind w:left="0" w:right="0" w:hanging="0"/>
      <w:jc w:val="left"/>
    </w:pPr>
    <w:rPr>
      <w:rFonts w:ascii="Times New Roman" w:hAnsi="Times New Roman" w:eastAsia="Times New Roman" w:cs="Times New Roman"/>
      <w:color w:val="auto"/>
      <w:kern w:val="0"/>
      <w:sz w:val="20"/>
      <w:szCs w:val="20"/>
      <w:lang w:val="ru-RU" w:eastAsia="zh-CN" w:bidi="ar-SA"/>
    </w:rPr>
  </w:style>
  <w:style w:type="paragraph" w:styleId="21">
    <w:name w:val="TOC 2"/>
    <w:uiPriority w:val="39"/>
    <w:unhideWhenUsed/>
    <w:pPr>
      <w:widowControl/>
      <w:bidi w:val="0"/>
      <w:spacing w:before="0" w:after="57"/>
      <w:ind w:left="283" w:right="0" w:hanging="0"/>
      <w:jc w:val="left"/>
    </w:pPr>
    <w:rPr>
      <w:rFonts w:ascii="Times New Roman" w:hAnsi="Times New Roman" w:eastAsia="Times New Roman" w:cs="Times New Roman"/>
      <w:color w:val="auto"/>
      <w:kern w:val="0"/>
      <w:sz w:val="20"/>
      <w:szCs w:val="20"/>
      <w:lang w:val="ru-RU" w:eastAsia="zh-CN" w:bidi="ar-SA"/>
    </w:rPr>
  </w:style>
  <w:style w:type="paragraph" w:styleId="31">
    <w:name w:val="TOC 3"/>
    <w:uiPriority w:val="39"/>
    <w:unhideWhenUsed/>
    <w:pPr>
      <w:widowControl/>
      <w:bidi w:val="0"/>
      <w:spacing w:before="0" w:after="57"/>
      <w:ind w:left="567" w:right="0" w:hanging="0"/>
      <w:jc w:val="left"/>
    </w:pPr>
    <w:rPr>
      <w:rFonts w:ascii="Times New Roman" w:hAnsi="Times New Roman" w:eastAsia="Times New Roman" w:cs="Times New Roman"/>
      <w:color w:val="auto"/>
      <w:kern w:val="0"/>
      <w:sz w:val="20"/>
      <w:szCs w:val="20"/>
      <w:lang w:val="ru-RU" w:eastAsia="zh-CN" w:bidi="ar-SA"/>
    </w:rPr>
  </w:style>
  <w:style w:type="paragraph" w:styleId="41">
    <w:name w:val="TOC 4"/>
    <w:uiPriority w:val="39"/>
    <w:unhideWhenUsed/>
    <w:pPr>
      <w:widowControl/>
      <w:bidi w:val="0"/>
      <w:spacing w:before="0" w:after="57"/>
      <w:ind w:left="850" w:right="0" w:hanging="0"/>
      <w:jc w:val="left"/>
    </w:pPr>
    <w:rPr>
      <w:rFonts w:ascii="Times New Roman" w:hAnsi="Times New Roman" w:eastAsia="Times New Roman" w:cs="Times New Roman"/>
      <w:color w:val="auto"/>
      <w:kern w:val="0"/>
      <w:sz w:val="20"/>
      <w:szCs w:val="20"/>
      <w:lang w:val="ru-RU" w:eastAsia="zh-CN" w:bidi="ar-SA"/>
    </w:rPr>
  </w:style>
  <w:style w:type="paragraph" w:styleId="51">
    <w:name w:val="TOC 5"/>
    <w:uiPriority w:val="39"/>
    <w:unhideWhenUsed/>
    <w:pPr>
      <w:widowControl/>
      <w:bidi w:val="0"/>
      <w:spacing w:before="0" w:after="57"/>
      <w:ind w:left="1134" w:right="0" w:hanging="0"/>
      <w:jc w:val="left"/>
    </w:pPr>
    <w:rPr>
      <w:rFonts w:ascii="Times New Roman" w:hAnsi="Times New Roman" w:eastAsia="Times New Roman" w:cs="Times New Roman"/>
      <w:color w:val="auto"/>
      <w:kern w:val="0"/>
      <w:sz w:val="20"/>
      <w:szCs w:val="20"/>
      <w:lang w:val="ru-RU" w:eastAsia="zh-CN" w:bidi="ar-SA"/>
    </w:rPr>
  </w:style>
  <w:style w:type="paragraph" w:styleId="61">
    <w:name w:val="TOC 6"/>
    <w:uiPriority w:val="39"/>
    <w:unhideWhenUsed/>
    <w:pPr>
      <w:widowControl/>
      <w:bidi w:val="0"/>
      <w:spacing w:before="0" w:after="57"/>
      <w:ind w:left="1417" w:right="0" w:hanging="0"/>
      <w:jc w:val="left"/>
    </w:pPr>
    <w:rPr>
      <w:rFonts w:ascii="Times New Roman" w:hAnsi="Times New Roman" w:eastAsia="Times New Roman" w:cs="Times New Roman"/>
      <w:color w:val="auto"/>
      <w:kern w:val="0"/>
      <w:sz w:val="20"/>
      <w:szCs w:val="20"/>
      <w:lang w:val="ru-RU" w:eastAsia="zh-CN" w:bidi="ar-SA"/>
    </w:rPr>
  </w:style>
  <w:style w:type="paragraph" w:styleId="71">
    <w:name w:val="TOC 7"/>
    <w:uiPriority w:val="39"/>
    <w:unhideWhenUsed/>
    <w:pPr>
      <w:widowControl/>
      <w:bidi w:val="0"/>
      <w:spacing w:before="0" w:after="57"/>
      <w:ind w:left="1701" w:right="0" w:hanging="0"/>
      <w:jc w:val="left"/>
    </w:pPr>
    <w:rPr>
      <w:rFonts w:ascii="Times New Roman" w:hAnsi="Times New Roman" w:eastAsia="Times New Roman" w:cs="Times New Roman"/>
      <w:color w:val="auto"/>
      <w:kern w:val="0"/>
      <w:sz w:val="20"/>
      <w:szCs w:val="20"/>
      <w:lang w:val="ru-RU" w:eastAsia="zh-CN" w:bidi="ar-SA"/>
    </w:rPr>
  </w:style>
  <w:style w:type="paragraph" w:styleId="82">
    <w:name w:val="TOC 8"/>
    <w:uiPriority w:val="39"/>
    <w:unhideWhenUsed/>
    <w:pPr>
      <w:widowControl/>
      <w:bidi w:val="0"/>
      <w:spacing w:before="0" w:after="57"/>
      <w:ind w:left="1984" w:right="0" w:hanging="0"/>
      <w:jc w:val="left"/>
    </w:pPr>
    <w:rPr>
      <w:rFonts w:ascii="Times New Roman" w:hAnsi="Times New Roman" w:eastAsia="Times New Roman" w:cs="Times New Roman"/>
      <w:color w:val="auto"/>
      <w:kern w:val="0"/>
      <w:sz w:val="20"/>
      <w:szCs w:val="20"/>
      <w:lang w:val="ru-RU" w:eastAsia="zh-CN" w:bidi="ar-SA"/>
    </w:rPr>
  </w:style>
  <w:style w:type="paragraph" w:styleId="91">
    <w:name w:val="TOC 9"/>
    <w:uiPriority w:val="39"/>
    <w:unhideWhenUsed/>
    <w:pPr>
      <w:widowControl/>
      <w:bidi w:val="0"/>
      <w:spacing w:before="0" w:after="57"/>
      <w:ind w:left="2268" w:right="0" w:hanging="0"/>
      <w:jc w:val="left"/>
    </w:pPr>
    <w:rPr>
      <w:rFonts w:ascii="Times New Roman" w:hAnsi="Times New Roman" w:eastAsia="Times New Roman" w:cs="Times New Roman"/>
      <w:color w:val="auto"/>
      <w:kern w:val="0"/>
      <w:sz w:val="20"/>
      <w:szCs w:val="20"/>
      <w:lang w:val="ru-RU" w:eastAsia="zh-CN" w:bidi="ar-SA"/>
    </w:rPr>
  </w:style>
  <w:style w:type="paragraph" w:styleId="Style26">
    <w:name w:val="Index Heading"/>
    <w:basedOn w:val="Style13"/>
    <w:pPr/>
    <w:rPr/>
  </w:style>
  <w:style w:type="paragraph" w:styleId="Style27">
    <w:name w:val="TOC Heading"/>
    <w:uiPriority w:val="39"/>
    <w:unhideWhenUsed/>
    <w:qFormat/>
    <w:pPr>
      <w:widowControl/>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28">
    <w:name w:val="Обычный"/>
    <w:qFormat/>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22">
    <w:name w:val="Основной текст 2"/>
    <w:basedOn w:val="Style28"/>
    <w:qFormat/>
    <w:pPr>
      <w:jc w:val="both"/>
    </w:pPr>
    <w:rPr>
      <w:sz w:val="28"/>
    </w:rPr>
  </w:style>
  <w:style w:type="paragraph" w:styleId="Style29">
    <w:name w:val="Body Text Indent"/>
    <w:basedOn w:val="Style28"/>
    <w:pPr>
      <w:spacing w:before="0" w:after="120"/>
      <w:ind w:left="283" w:hanging="0"/>
    </w:pPr>
    <w:rPr/>
  </w:style>
  <w:style w:type="paragraph" w:styleId="Style30">
    <w:name w:val="Текст выноски"/>
    <w:basedOn w:val="Style28"/>
    <w:semiHidden/>
    <w:qFormat/>
    <w:pPr/>
    <w:rPr>
      <w:rFonts w:ascii="Tahoma" w:hAnsi="Tahoma"/>
      <w:sz w:val="16"/>
      <w:szCs w:val="16"/>
    </w:rPr>
  </w:style>
  <w:style w:type="paragraph" w:styleId="FORMATTEXT" w:customStyle="1">
    <w:name w:val=".FORMATTEXT"/>
    <w:uiPriority w:val="99"/>
    <w:qFormat/>
    <w:pPr>
      <w:keepNext w:val="false"/>
      <w:keepLines w:val="false"/>
      <w:pageBreakBefore w:val="false"/>
      <w:widowControl w:val="false"/>
      <w:shd w:val="nil" w:color="000000" w:fill="000000"/>
      <w:bidi w:val="0"/>
      <w:spacing w:lineRule="auto" w:line="240" w:beforeAutospacing="0" w:before="0" w:afterAutospacing="0" w:after="0"/>
      <w:ind w:left="0" w:right="0" w:hanging="0"/>
      <w:jc w:val="left"/>
    </w:pPr>
    <w:rPr>
      <w:rFonts w:ascii="Arial" w:hAnsi="Arial" w:eastAsia="Calibri" w:cs="Arial"/>
      <w:b w:val="false"/>
      <w:bCs w:val="false"/>
      <w:i w:val="false"/>
      <w:iCs w:val="false"/>
      <w:caps w:val="false"/>
      <w:smallCaps w:val="false"/>
      <w:strike w:val="false"/>
      <w:dstrike w:val="false"/>
      <w:vanish w:val="false"/>
      <w:color w:val="FFFFFF"/>
      <w:spacing w:val="0"/>
      <w:kern w:val="0"/>
      <w:position w:val="0"/>
      <w:sz w:val="20"/>
      <w:sz w:val="20"/>
      <w:szCs w:val="20"/>
      <w:highlight w:val="black"/>
      <w:u w:val="none"/>
      <w:shd w:fill="000000" w:val="clear"/>
      <w:vertAlign w:val="baseline"/>
      <w:lang w:val="ru-RU" w:eastAsia="ru-RU" w:bidi="ar-SA"/>
    </w:rPr>
  </w:style>
  <w:style w:type="paragraph" w:styleId="NormalWeb">
    <w:name w:val="Normal (Web)"/>
    <w:uiPriority w:val="99"/>
    <w:qFormat/>
    <w:pPr>
      <w:keepNext w:val="false"/>
      <w:keepLines w:val="false"/>
      <w:pageBreakBefore w:val="false"/>
      <w:widowControl/>
      <w:shd w:val="nil" w:color="000000" w:fill="000000"/>
      <w:bidi w:val="0"/>
      <w:spacing w:lineRule="auto" w:line="240" w:beforeAutospacing="1" w:afterAutospacing="1"/>
      <w:ind w:left="0" w:right="0" w:hanging="0"/>
      <w:jc w:val="left"/>
    </w:pPr>
    <w:rPr>
      <w:rFonts w:ascii="Times New Roman" w:hAnsi="Times New Roman" w:eastAsia="Times New Roman" w:cs="Times New Roman"/>
      <w:b w:val="false"/>
      <w:bCs w:val="false"/>
      <w:i w:val="false"/>
      <w:iCs w:val="false"/>
      <w:caps w:val="false"/>
      <w:smallCaps w:val="false"/>
      <w:strike w:val="false"/>
      <w:dstrike w:val="false"/>
      <w:vanish w:val="false"/>
      <w:color w:val="FFFFFF"/>
      <w:spacing w:val="0"/>
      <w:kern w:val="0"/>
      <w:position w:val="0"/>
      <w:sz w:val="24"/>
      <w:sz w:val="24"/>
      <w:szCs w:val="24"/>
      <w:highlight w:val="black"/>
      <w:u w:val="none"/>
      <w:shd w:fill="000000" w:val="clear"/>
      <w:vertAlign w:val="baseline"/>
      <w:lang w:val="ru-RU" w:eastAsia="ru-RU" w:bidi="ar-SA"/>
    </w:rPr>
  </w:style>
  <w:style w:type="paragraph" w:styleId="Style31">
    <w:name w:val="Содержимое врезки"/>
    <w:basedOn w:val="Normal"/>
    <w:qFormat/>
    <w:pPr/>
    <w:rPr/>
  </w:style>
  <w:style w:type="paragraph" w:styleId="Default">
    <w:name w:val="Default"/>
    <w:qFormat/>
    <w:pPr>
      <w:widowControl/>
      <w:bidi w:val="0"/>
      <w:spacing w:before="0" w:after="0"/>
      <w:jc w:val="left"/>
    </w:pPr>
    <w:rPr>
      <w:rFonts w:ascii="Times New Roman" w:hAnsi="Times New Roman" w:eastAsia="Calibri" w:cs="Times New Roman"/>
      <w:color w:val="000000"/>
      <w:kern w:val="0"/>
      <w:sz w:val="24"/>
      <w:szCs w:val="24"/>
      <w:lang w:val="ru-RU" w:eastAsia="zh-CN" w:bidi="ar-SA"/>
    </w:rPr>
  </w:style>
  <w:style w:type="paragraph" w:styleId="Style32">
    <w:name w:val="Содержимое таблицы"/>
    <w:basedOn w:val="Normal"/>
    <w:qFormat/>
    <w:pPr>
      <w:suppressLineNumbers/>
    </w:pPr>
    <w:rPr/>
  </w:style>
  <w:style w:type="paragraph" w:styleId="Style33">
    <w:name w:val="Заголовок таблицы"/>
    <w:basedOn w:val="Style32"/>
    <w:qFormat/>
    <w:pPr>
      <w:suppressLineNumbers/>
      <w:jc w:val="center"/>
    </w:pPr>
    <w:rPr>
      <w:b/>
      <w:bCs/>
    </w:rPr>
  </w:style>
  <w:style w:type="numbering" w:styleId="Style34">
    <w:name w:val="Нет списка"/>
    <w:semiHidden/>
    <w:qFormat/>
  </w:style>
  <w:style w:type="numbering" w:styleId="NoList" w:default="1">
    <w:name w:val="No List"/>
    <w:uiPriority w:val="99"/>
    <w:semiHidden/>
    <w:unhideWhenUsed/>
    <w:qFormat/>
  </w:style>
  <w:style w:type="numbering" w:styleId="WW8Num10">
    <w:name w:val="WW8Num10"/>
    <w:qFormat/>
  </w:style>
  <w:style w:type="table" w:styleId="774">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75">
    <w:name w:val="Table Grid Light"/>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76">
    <w:name w:val="Plain Table 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FFFFF" w:themeFill="text1" w:themeFillTint="0"/>
      </w:tcPr>
    </w:tblStylePr>
    <w:tblStylePr w:type="band1Vert">
      <w:tblPr/>
      <w:tcPr>
        <w:shd w:val="clear" w:color="FFFFFF" w:fill="FFFFFF" w:themeFill="text1" w:themeFillTint="0"/>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777">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778">
    <w:name w:val="Plain Table 3"/>
    <w:uiPriority w:val="99"/>
    <w:pPr>
      <w:spacing w:after="0" w:line="240" w:lineRule="auto"/>
    </w:pPr>
    <w:tblPr>
      <w:tblStyleRowBandSize w:val="1"/>
      <w:tblStyleColBandSize w:val="1"/>
    </w:tblPr>
    <w:tblStylePr w:type="band1Horz">
      <w:rPr>
        <w:color w:val="404040"/>
        <w:sz w:val="22"/>
      </w:rPr>
      <w:tblPr/>
      <w:tcPr>
        <w:shd w:val="clear" w:color="FFFFFF" w:fill="FFFFFF" w:themeFill="text1" w:themeFillTint="0"/>
      </w:tcPr>
    </w:tblStylePr>
    <w:tblStylePr w:type="band1Vert">
      <w:rPr>
        <w:color w:val="404040"/>
        <w:sz w:val="22"/>
      </w:rPr>
      <w:tblPr/>
      <w:tcPr>
        <w:shd w:val="clear" w:color="FFFFFF" w:fill="FFFFFF" w:themeFill="text1" w:themeFillTint="0"/>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779">
    <w:name w:val="Plain Table 4"/>
    <w:uiPriority w:val="99"/>
    <w:pPr>
      <w:spacing w:after="0" w:line="240" w:lineRule="auto"/>
    </w:pPr>
    <w:tblPr>
      <w:tblStyleRowBandSize w:val="1"/>
      <w:tblStyleColBandSize w:val="1"/>
    </w:tblPr>
    <w:tblStylePr w:type="band1Horz">
      <w:rPr>
        <w:color w:val="404040"/>
        <w:sz w:val="22"/>
      </w:rPr>
      <w:tblPr/>
      <w:tcPr>
        <w:shd w:val="clear" w:color="FFFFFF" w:fill="FFFFFF" w:themeFill="text1" w:themeFillTint="0"/>
      </w:tcPr>
    </w:tblStylePr>
    <w:tblStylePr w:type="band1Vert">
      <w:rPr>
        <w:color w:val="404040"/>
        <w:sz w:val="22"/>
      </w:rPr>
      <w:tblPr/>
      <w:tcPr>
        <w:shd w:val="clear" w:color="FFFFFF" w:fill="FFFFFF" w:themeFill="text1" w:themeFillTint="0"/>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780">
    <w:name w:val="Plain Table 5"/>
    <w:uiPriority w:val="99"/>
    <w:pPr>
      <w:spacing w:after="0" w:line="240" w:lineRule="auto"/>
    </w:pPr>
    <w:tblPr>
      <w:tblStyleRowBandSize w:val="1"/>
      <w:tblStyleColBandSize w:val="1"/>
    </w:tblPr>
    <w:tblStylePr w:type="band1Horz">
      <w:rPr>
        <w:color w:val="404040"/>
        <w:sz w:val="22"/>
      </w:rPr>
      <w:tblPr/>
      <w:tcPr>
        <w:shd w:val="clear" w:color="FFFFFF" w:fill="FFFFFF" w:themeFill="text1" w:themeFillTint="0"/>
      </w:tcPr>
    </w:tblStylePr>
    <w:tblStylePr w:type="band1Vert">
      <w:rPr>
        <w:color w:val="404040"/>
        <w:sz w:val="22"/>
      </w:rPr>
      <w:tblPr/>
      <w:tcPr>
        <w:shd w:val="clear" w:color="FFFFFF" w:fill="FFFFFF" w:themeFill="text1" w:themeFillTint="0"/>
      </w:tcPr>
    </w:tblStylePr>
    <w:tblStylePr w:type="firstCol">
      <w:pPr>
        <w:jc w:val="right"/>
      </w:pPr>
      <w:rPr>
        <w:i/>
        <w:color w:val="404040"/>
      </w:rPr>
      <w:tblPr/>
      <w:tcPr>
        <w:tcBorders>
          <w:right w:val="single" w:color="404040" w:sz="4" w:space="0"/>
        </w:tcBorders>
        <w:shd w:val="clear" w:color="FFFFFF" w:fill="FFFFFF"/>
      </w:tcPr>
    </w:tblStylePr>
    <w:tblStylePr w:type="firstRow">
      <w:rPr>
        <w:i/>
        <w:color w:val="404040"/>
      </w:rPr>
      <w:tblPr/>
      <w:tcPr>
        <w:tcBorders>
          <w:left w:val="none" w:color="000000" w:sz="4" w:space="0"/>
          <w:bottom w:val="single" w:color="404040" w:sz="4" w:space="0"/>
          <w:right w:val="none" w:color="000000" w:sz="4" w:space="0"/>
        </w:tcBorders>
        <w:shd w:val="clear" w:color="FFFFFF" w:fill="FFFFFF"/>
      </w:tcPr>
    </w:tblStylePr>
    <w:tblStylePr w:type="lastCol">
      <w:rPr>
        <w:i/>
        <w:color w:val="404040"/>
      </w:rPr>
      <w:tblPr/>
      <w:tcPr>
        <w:tcBorders>
          <w:left w:val="single" w:color="404040" w:sz="4" w:space="0"/>
        </w:tcBorders>
        <w:shd w:val="clear" w:color="FFFFFF" w:fill="FFFFFF"/>
      </w:tcPr>
    </w:tblStylePr>
    <w:tblStylePr w:type="lastRow">
      <w:rPr>
        <w:i/>
        <w:color w:val="404040"/>
      </w:rPr>
      <w:tblPr/>
      <w:tcPr>
        <w:tcBorders>
          <w:top w:val="single" w:color="404040" w:sz="4" w:space="0"/>
          <w:left w:val="none" w:color="000000" w:sz="4" w:space="0"/>
          <w:right w:val="none" w:color="000000" w:sz="4" w:space="0"/>
        </w:tcBorders>
        <w:shd w:val="clear" w:color="FFFFFF" w:fill="FFFFFF"/>
      </w:tcPr>
    </w:tblStylePr>
  </w:style>
  <w:style w:type="table" w:styleId="781">
    <w:name w:val="Grid Table 1 Light"/>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782">
    <w:name w:val="Grid Table 1 Light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783">
    <w:name w:val="Grid Table 1 Light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784">
    <w:name w:val="Grid Table 1 Light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785">
    <w:name w:val="Grid Table 1 Light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786">
    <w:name w:val="Grid Table 1 Light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787">
    <w:name w:val="Grid Table 1 Light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788">
    <w:name w:val="Grid Table 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FFFFFF" w:themeFill="text1" w:themeFillTint="34"/>
      </w:tcPr>
    </w:tblStylePr>
    <w:tblStylePr w:type="band1Vert">
      <w:rPr>
        <w:color w:val="404040"/>
        <w:sz w:val="22"/>
      </w:rPr>
      <w:tblPr/>
      <w:tcPr>
        <w:shd w:val="clear" w:color="FFFFFF" w:fill="FFFFFF"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fill="FFFFFF"/>
      </w:tcPr>
    </w:tblStylePr>
  </w:style>
  <w:style w:type="table" w:styleId="789">
    <w:name w:val="Grid Table 2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FFFFFF" w:themeFill="accent1" w:themeFillTint="34"/>
      </w:tcPr>
    </w:tblStylePr>
    <w:tblStylePr w:type="band1Vert">
      <w:rPr>
        <w:color w:val="404040"/>
        <w:sz w:val="22"/>
      </w:rPr>
      <w:tblPr/>
      <w:tcPr>
        <w:shd w:val="clear" w:color="FFFFFF" w:fill="FFFFFF"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fill="FFFFFF"/>
      </w:tcPr>
    </w:tblStylePr>
  </w:style>
  <w:style w:type="table" w:styleId="790">
    <w:name w:val="Grid Table 2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FFFFF" w:themeFill="accent2" w:themeFillTint="32"/>
      </w:tcPr>
    </w:tblStylePr>
    <w:tblStylePr w:type="band1Vert">
      <w:rPr>
        <w:color w:val="404040"/>
        <w:sz w:val="22"/>
      </w:rPr>
      <w:tblPr/>
      <w:tcPr>
        <w:shd w:val="clear" w:color="FFFFFF" w:fill="FFFFFF"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fill="FFFFFF"/>
      </w:tcPr>
    </w:tblStylePr>
  </w:style>
  <w:style w:type="table" w:styleId="791">
    <w:name w:val="Grid Table 2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FFFFFF" w:themeFill="accent3" w:themeFillTint="34"/>
      </w:tcPr>
    </w:tblStylePr>
    <w:tblStylePr w:type="band1Vert">
      <w:rPr>
        <w:color w:val="404040"/>
        <w:sz w:val="22"/>
      </w:rPr>
      <w:tblPr/>
      <w:tcPr>
        <w:shd w:val="clear" w:color="FFFFFF" w:fill="FFFFFF"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fill="FFFFFF"/>
      </w:tcPr>
    </w:tblStylePr>
  </w:style>
  <w:style w:type="table" w:styleId="792">
    <w:name w:val="Grid Table 2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FFFFF" w:themeFill="accent4" w:themeFillTint="34"/>
      </w:tcPr>
    </w:tblStylePr>
    <w:tblStylePr w:type="band1Vert">
      <w:rPr>
        <w:color w:val="404040"/>
        <w:sz w:val="22"/>
      </w:rPr>
      <w:tblPr/>
      <w:tcPr>
        <w:shd w:val="clear" w:color="FFFFFF" w:fill="FFFFFF"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fill="FFFFFF"/>
      </w:tcPr>
    </w:tblStylePr>
  </w:style>
  <w:style w:type="table" w:styleId="793">
    <w:name w:val="Grid Table 2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FFFFFF" w:themeFill="accent5" w:themeFillTint="34"/>
      </w:tcPr>
    </w:tblStylePr>
    <w:tblStylePr w:type="band1Vert">
      <w:rPr>
        <w:color w:val="404040"/>
        <w:sz w:val="22"/>
      </w:rPr>
      <w:tblPr/>
      <w:tcPr>
        <w:shd w:val="clear" w:color="FFFFFF" w:fill="FFFFFF"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fill="FFFFFF"/>
      </w:tcPr>
    </w:tblStylePr>
  </w:style>
  <w:style w:type="table" w:styleId="794">
    <w:name w:val="Grid Table 2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FFFFFF" w:themeFill="accent6" w:themeFillTint="34"/>
      </w:tcPr>
    </w:tblStylePr>
    <w:tblStylePr w:type="band1Vert">
      <w:rPr>
        <w:color w:val="404040"/>
        <w:sz w:val="22"/>
      </w:rPr>
      <w:tblPr/>
      <w:tcPr>
        <w:shd w:val="clear" w:color="FFFFFF" w:fill="FFFFFF"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fill="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fill="FFFFFF"/>
      </w:tcPr>
    </w:tblStylePr>
  </w:style>
  <w:style w:type="table" w:styleId="795">
    <w:name w:val="Grid Table 3"/>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FFFFFF" w:themeFill="text1" w:themeFillTint="34"/>
      </w:tcPr>
    </w:tblStylePr>
    <w:tblStylePr w:type="band1Vert">
      <w:rPr>
        <w:color w:val="404040"/>
        <w:sz w:val="22"/>
      </w:rPr>
      <w:tblPr/>
      <w:tcPr>
        <w:shd w:val="clear" w:color="FFFFFF" w:fill="FFFFFF"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796">
    <w:name w:val="Grid Table 3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FFFFFF" w:themeFill="accent1" w:themeFillTint="34"/>
      </w:tcPr>
    </w:tblStylePr>
    <w:tblStylePr w:type="band1Vert">
      <w:rPr>
        <w:color w:val="404040"/>
        <w:sz w:val="22"/>
      </w:rPr>
      <w:tblPr/>
      <w:tcPr>
        <w:shd w:val="clear" w:color="FFFFFF" w:fill="FFFFFF"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797">
    <w:name w:val="Grid Table 3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FFFFF" w:themeFill="accent2" w:themeFillTint="32"/>
      </w:tcPr>
    </w:tblStylePr>
    <w:tblStylePr w:type="band1Vert">
      <w:rPr>
        <w:color w:val="404040"/>
        <w:sz w:val="22"/>
      </w:rPr>
      <w:tblPr/>
      <w:tcPr>
        <w:shd w:val="clear" w:color="FFFFFF" w:fill="FFFFFF"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798">
    <w:name w:val="Grid Table 3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FFFFFF" w:themeFill="accent3" w:themeFillTint="34"/>
      </w:tcPr>
    </w:tblStylePr>
    <w:tblStylePr w:type="band1Vert">
      <w:rPr>
        <w:color w:val="404040"/>
        <w:sz w:val="22"/>
      </w:rPr>
      <w:tblPr/>
      <w:tcPr>
        <w:shd w:val="clear" w:color="FFFFFF" w:fill="FFFFFF"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799">
    <w:name w:val="Grid Table 3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FFFFF" w:themeFill="accent4" w:themeFillTint="34"/>
      </w:tcPr>
    </w:tblStylePr>
    <w:tblStylePr w:type="band1Vert">
      <w:rPr>
        <w:color w:val="404040"/>
        <w:sz w:val="22"/>
      </w:rPr>
      <w:tblPr/>
      <w:tcPr>
        <w:shd w:val="clear" w:color="FFFFFF" w:fill="FFFFFF"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800">
    <w:name w:val="Grid Table 3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FFFFFF" w:themeFill="accent5" w:themeFillTint="34"/>
      </w:tcPr>
    </w:tblStylePr>
    <w:tblStylePr w:type="band1Vert">
      <w:rPr>
        <w:color w:val="404040"/>
        <w:sz w:val="22"/>
      </w:rPr>
      <w:tblPr/>
      <w:tcPr>
        <w:shd w:val="clear" w:color="FFFFFF" w:fill="FFFFFF"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801">
    <w:name w:val="Grid Table 3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FFFFFF" w:themeFill="accent6" w:themeFillTint="34"/>
      </w:tcPr>
    </w:tblStylePr>
    <w:tblStylePr w:type="band1Vert">
      <w:rPr>
        <w:color w:val="404040"/>
        <w:sz w:val="22"/>
      </w:rPr>
      <w:tblPr/>
      <w:tcPr>
        <w:shd w:val="clear" w:color="FFFFFF" w:fill="FFFFFF"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FFFFFF"/>
      </w:tcPr>
    </w:tblStylePr>
  </w:style>
  <w:style w:type="table" w:styleId="802">
    <w:name w:val="Grid Table 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FFFFFF" w:themeFill="text1" w:themeFillTint="34"/>
      </w:tcPr>
    </w:tblStylePr>
    <w:tblStylePr w:type="band1Vert">
      <w:rPr>
        <w:color w:val="404040"/>
        <w:sz w:val="22"/>
      </w:rPr>
      <w:tblPr/>
      <w:tcPr>
        <w:shd w:val="clear" w:color="FFFFFF" w:fill="FFFFFF"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FFFFFF"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803">
    <w:name w:val="Grid Table 4 - Accent 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FFFFFF" w:themeFill="accent1" w:themeFillTint="32"/>
      </w:tcPr>
    </w:tblStylePr>
    <w:tblStylePr w:type="band1Vert">
      <w:rPr>
        <w:color w:val="404040"/>
        <w:sz w:val="22"/>
      </w:rPr>
      <w:tblPr/>
      <w:tcPr>
        <w:shd w:val="clear" w:color="FFFFFF" w:fill="FFFFFF"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FFFFFF"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804">
    <w:name w:val="Grid Table 4 - Accent 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FFFFF" w:themeFill="accent2" w:themeFillTint="32"/>
      </w:tcPr>
    </w:tblStylePr>
    <w:tblStylePr w:type="band1Vert">
      <w:rPr>
        <w:color w:val="404040"/>
        <w:sz w:val="22"/>
      </w:rPr>
      <w:tblPr/>
      <w:tcPr>
        <w:shd w:val="clear" w:color="FFFFFF" w:fill="FFFFFF"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FFFFF"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805">
    <w:name w:val="Grid Table 4 - Accent 3"/>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FFFFFF" w:themeFill="accent3" w:themeFillTint="34"/>
      </w:tcPr>
    </w:tblStylePr>
    <w:tblStylePr w:type="band1Vert">
      <w:rPr>
        <w:color w:val="404040"/>
        <w:sz w:val="22"/>
      </w:rPr>
      <w:tblPr/>
      <w:tcPr>
        <w:shd w:val="clear" w:color="FFFFFF" w:fill="FFFFFF"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FFFFFF"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806">
    <w:name w:val="Grid Table 4 - Accent 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FFFFF" w:themeFill="accent4" w:themeFillTint="34"/>
      </w:tcPr>
    </w:tblStylePr>
    <w:tblStylePr w:type="band1Vert">
      <w:rPr>
        <w:color w:val="404040"/>
        <w:sz w:val="22"/>
      </w:rPr>
      <w:tblPr/>
      <w:tcPr>
        <w:shd w:val="clear" w:color="FFFFFF" w:fill="FFFFFF"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FFFF"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807">
    <w:name w:val="Grid Table 4 - Accent 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FFFFFF" w:themeFill="accent5" w:themeFillTint="34"/>
      </w:tcPr>
    </w:tblStylePr>
    <w:tblStylePr w:type="band1Vert">
      <w:rPr>
        <w:color w:val="404040"/>
        <w:sz w:val="22"/>
      </w:rPr>
      <w:tblPr/>
      <w:tcPr>
        <w:shd w:val="clear" w:color="FFFFFF" w:fill="FFFFFF"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FFFFFF"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808">
    <w:name w:val="Grid Table 4 - Accent 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FFFFFF" w:themeFill="accent6" w:themeFillTint="34"/>
      </w:tcPr>
    </w:tblStylePr>
    <w:tblStylePr w:type="band1Vert">
      <w:rPr>
        <w:color w:val="404040"/>
        <w:sz w:val="22"/>
      </w:rPr>
      <w:tblPr/>
      <w:tcPr>
        <w:shd w:val="clear" w:color="FFFFFF" w:fill="FFFFFF"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FFFFF"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809">
    <w:name w:val="Grid Table 5 Dark"/>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text1" w:themeFillTint="75"/>
      </w:tcPr>
    </w:tblStylePr>
    <w:tblStylePr w:type="band1Vert">
      <w:tblPr/>
      <w:tcPr>
        <w:shd w:val="clear" w:color="FFFFFF" w:fill="FFFFFF" w:themeFill="text1" w:themeFillTint="75"/>
      </w:tcPr>
    </w:tblStylePr>
    <w:tblStylePr w:type="firstCol">
      <w:rPr>
        <w:b/>
        <w:color w:val="FFFFFF"/>
        <w:sz w:val="22"/>
      </w:rPr>
      <w:tblPr/>
      <w:tcPr>
        <w:shd w:val="clear" w:color="FFFFFF" w:fill="FFFFFF" w:themeFill="text1"/>
      </w:tcPr>
    </w:tblStylePr>
    <w:tblStylePr w:type="firstRow">
      <w:rPr>
        <w:b/>
        <w:color w:val="FFFFFF"/>
        <w:sz w:val="22"/>
      </w:rPr>
      <w:tblPr/>
      <w:tcPr>
        <w:shd w:val="clear" w:color="FFFFFF" w:fill="FFFFFF" w:themeFill="text1"/>
      </w:tcPr>
    </w:tblStylePr>
    <w:tblStylePr w:type="lastCol">
      <w:rPr>
        <w:b/>
        <w:color w:val="FFFFFF"/>
        <w:sz w:val="22"/>
      </w:rPr>
      <w:tblPr/>
      <w:tcPr>
        <w:shd w:val="clear" w:color="FFFFFF" w:fill="FFFFFF" w:themeFill="text1"/>
      </w:tcPr>
    </w:tblStylePr>
    <w:tblStylePr w:type="lastRow">
      <w:rPr>
        <w:b/>
        <w:color w:val="FFFFFF"/>
        <w:sz w:val="22"/>
      </w:rPr>
      <w:tblPr/>
      <w:tcPr>
        <w:tcBorders>
          <w:top w:val="single" w:color="000000" w:themeColor="light1" w:sz="4" w:space="0"/>
        </w:tcBorders>
        <w:shd w:val="clear" w:color="FFFFFF" w:fill="FFFFFF" w:themeFill="text1"/>
      </w:tcPr>
    </w:tblStylePr>
  </w:style>
  <w:style w:type="table" w:styleId="810">
    <w:name w:val="Grid Table 5 Dark- Accent 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accent1" w:themeFillTint="75"/>
      </w:tcPr>
    </w:tblStylePr>
    <w:tblStylePr w:type="band1Vert">
      <w:tblPr/>
      <w:tcPr>
        <w:shd w:val="clear" w:color="FFFFFF" w:fill="FFFFFF" w:themeFill="accent1" w:themeFillTint="75"/>
      </w:tcPr>
    </w:tblStylePr>
    <w:tblStylePr w:type="firstCol">
      <w:rPr>
        <w:b/>
        <w:color w:val="FFFFFF"/>
        <w:sz w:val="22"/>
      </w:rPr>
      <w:tblPr/>
      <w:tcPr>
        <w:shd w:val="clear" w:color="FFFFFF" w:fill="FFFFFF" w:themeFill="accent1"/>
      </w:tcPr>
    </w:tblStylePr>
    <w:tblStylePr w:type="firstRow">
      <w:rPr>
        <w:b/>
        <w:color w:val="FFFFFF"/>
        <w:sz w:val="22"/>
      </w:rPr>
      <w:tblPr/>
      <w:tcPr>
        <w:shd w:val="clear" w:color="FFFFFF" w:fill="FFFFFF" w:themeFill="accent1"/>
      </w:tcPr>
    </w:tblStylePr>
    <w:tblStylePr w:type="lastCol">
      <w:rPr>
        <w:b/>
        <w:color w:val="FFFFFF"/>
        <w:sz w:val="22"/>
      </w:rPr>
      <w:tblPr/>
      <w:tcPr>
        <w:shd w:val="clear" w:color="FFFFFF" w:fill="FFFFFF" w:themeFill="accent1"/>
      </w:tcPr>
    </w:tblStylePr>
    <w:tblStylePr w:type="lastRow">
      <w:rPr>
        <w:b/>
        <w:color w:val="FFFFFF"/>
        <w:sz w:val="22"/>
      </w:rPr>
      <w:tblPr/>
      <w:tcPr>
        <w:tcBorders>
          <w:top w:val="single" w:color="000000" w:themeColor="light1" w:sz="4" w:space="0"/>
        </w:tcBorders>
        <w:shd w:val="clear" w:color="FFFFFF" w:fill="FFFFFF" w:themeFill="accent1"/>
      </w:tcPr>
    </w:tblStylePr>
  </w:style>
  <w:style w:type="table" w:styleId="811">
    <w:name w:val="Grid Table 5 Dark - Accent 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accent2" w:themeFillTint="75"/>
      </w:tcPr>
    </w:tblStylePr>
    <w:tblStylePr w:type="band1Vert">
      <w:tblPr/>
      <w:tcPr>
        <w:shd w:val="clear" w:color="FFFFFF" w:fill="FFFFFF" w:themeFill="accent2" w:themeFillTint="75"/>
      </w:tcPr>
    </w:tblStylePr>
    <w:tblStylePr w:type="firstCol">
      <w:rPr>
        <w:b/>
        <w:color w:val="FFFFFF"/>
        <w:sz w:val="22"/>
      </w:rPr>
      <w:tblPr/>
      <w:tcPr>
        <w:shd w:val="clear" w:color="FFFFFF" w:fill="FFFFFF" w:themeFill="accent2"/>
      </w:tcPr>
    </w:tblStylePr>
    <w:tblStylePr w:type="firstRow">
      <w:rPr>
        <w:b/>
        <w:color w:val="FFFFFF"/>
        <w:sz w:val="22"/>
      </w:rPr>
      <w:tblPr/>
      <w:tcPr>
        <w:shd w:val="clear" w:color="FFFFFF" w:fill="FFFFFF" w:themeFill="accent2"/>
      </w:tcPr>
    </w:tblStylePr>
    <w:tblStylePr w:type="lastCol">
      <w:rPr>
        <w:b/>
        <w:color w:val="FFFFFF"/>
        <w:sz w:val="22"/>
      </w:rPr>
      <w:tblPr/>
      <w:tcPr>
        <w:shd w:val="clear" w:color="FFFFFF" w:fill="FFFFFF" w:themeFill="accent2"/>
      </w:tcPr>
    </w:tblStylePr>
    <w:tblStylePr w:type="lastRow">
      <w:rPr>
        <w:b/>
        <w:color w:val="FFFFFF"/>
        <w:sz w:val="22"/>
      </w:rPr>
      <w:tblPr/>
      <w:tcPr>
        <w:tcBorders>
          <w:top w:val="single" w:color="000000" w:themeColor="light1" w:sz="4" w:space="0"/>
        </w:tcBorders>
        <w:shd w:val="clear" w:color="FFFFFF" w:fill="FFFFFF" w:themeFill="accent2"/>
      </w:tcPr>
    </w:tblStylePr>
  </w:style>
  <w:style w:type="table" w:styleId="812">
    <w:name w:val="Grid Table 5 Dark - Accent 3"/>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accent3" w:themeFillTint="75"/>
      </w:tcPr>
    </w:tblStylePr>
    <w:tblStylePr w:type="band1Vert">
      <w:tblPr/>
      <w:tcPr>
        <w:shd w:val="clear" w:color="FFFFFF" w:fill="FFFFFF" w:themeFill="accent3" w:themeFillTint="75"/>
      </w:tcPr>
    </w:tblStylePr>
    <w:tblStylePr w:type="firstCol">
      <w:rPr>
        <w:b/>
        <w:color w:val="FFFFFF"/>
        <w:sz w:val="22"/>
      </w:rPr>
      <w:tblPr/>
      <w:tcPr>
        <w:shd w:val="clear" w:color="FFFFFF" w:fill="FFFFFF" w:themeFill="accent3"/>
      </w:tcPr>
    </w:tblStylePr>
    <w:tblStylePr w:type="firstRow">
      <w:rPr>
        <w:b/>
        <w:color w:val="FFFFFF"/>
        <w:sz w:val="22"/>
      </w:rPr>
      <w:tblPr/>
      <w:tcPr>
        <w:shd w:val="clear" w:color="FFFFFF" w:fill="FFFFFF" w:themeFill="accent3"/>
      </w:tcPr>
    </w:tblStylePr>
    <w:tblStylePr w:type="lastCol">
      <w:rPr>
        <w:b/>
        <w:color w:val="FFFFFF"/>
        <w:sz w:val="22"/>
      </w:rPr>
      <w:tblPr/>
      <w:tcPr>
        <w:shd w:val="clear" w:color="FFFFFF" w:fill="FFFFFF" w:themeFill="accent3"/>
      </w:tcPr>
    </w:tblStylePr>
    <w:tblStylePr w:type="lastRow">
      <w:rPr>
        <w:b/>
        <w:color w:val="FFFFFF"/>
        <w:sz w:val="22"/>
      </w:rPr>
      <w:tblPr/>
      <w:tcPr>
        <w:tcBorders>
          <w:top w:val="single" w:color="000000" w:themeColor="light1" w:sz="4" w:space="0"/>
        </w:tcBorders>
        <w:shd w:val="clear" w:color="FFFFFF" w:fill="FFFFFF" w:themeFill="accent3"/>
      </w:tcPr>
    </w:tblStylePr>
  </w:style>
  <w:style w:type="table" w:styleId="813">
    <w:name w:val="Grid Table 5 Dark- Accent 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accent4" w:themeFillTint="75"/>
      </w:tcPr>
    </w:tblStylePr>
    <w:tblStylePr w:type="band1Vert">
      <w:tblPr/>
      <w:tcPr>
        <w:shd w:val="clear" w:color="FFFFFF" w:fill="FFFFFF" w:themeFill="accent4" w:themeFillTint="75"/>
      </w:tcPr>
    </w:tblStylePr>
    <w:tblStylePr w:type="firstCol">
      <w:rPr>
        <w:b/>
        <w:color w:val="FFFFFF"/>
        <w:sz w:val="22"/>
      </w:rPr>
      <w:tblPr/>
      <w:tcPr>
        <w:shd w:val="clear" w:color="FFFFFF" w:fill="FFFFFF" w:themeFill="accent4"/>
      </w:tcPr>
    </w:tblStylePr>
    <w:tblStylePr w:type="firstRow">
      <w:rPr>
        <w:b/>
        <w:color w:val="FFFFFF"/>
        <w:sz w:val="22"/>
      </w:rPr>
      <w:tblPr/>
      <w:tcPr>
        <w:shd w:val="clear" w:color="FFFFFF" w:fill="FFFFFF" w:themeFill="accent4"/>
      </w:tcPr>
    </w:tblStylePr>
    <w:tblStylePr w:type="lastCol">
      <w:rPr>
        <w:b/>
        <w:color w:val="FFFFFF"/>
        <w:sz w:val="22"/>
      </w:rPr>
      <w:tblPr/>
      <w:tcPr>
        <w:shd w:val="clear" w:color="FFFFFF" w:fill="FFFFFF" w:themeFill="accent4"/>
      </w:tcPr>
    </w:tblStylePr>
    <w:tblStylePr w:type="lastRow">
      <w:rPr>
        <w:b/>
        <w:color w:val="FFFFFF"/>
        <w:sz w:val="22"/>
      </w:rPr>
      <w:tblPr/>
      <w:tcPr>
        <w:tcBorders>
          <w:top w:val="single" w:color="000000" w:themeColor="light1" w:sz="4" w:space="0"/>
        </w:tcBorders>
        <w:shd w:val="clear" w:color="FFFFFF" w:fill="FFFFFF" w:themeFill="accent4"/>
      </w:tcPr>
    </w:tblStylePr>
  </w:style>
  <w:style w:type="table" w:styleId="814">
    <w:name w:val="Grid Table 5 Dark - Accent 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accent5" w:themeFillTint="75"/>
      </w:tcPr>
    </w:tblStylePr>
    <w:tblStylePr w:type="band1Vert">
      <w:tblPr/>
      <w:tcPr>
        <w:shd w:val="clear" w:color="FFFFFF" w:fill="FFFFFF" w:themeFill="accent5" w:themeFillTint="75"/>
      </w:tcPr>
    </w:tblStylePr>
    <w:tblStylePr w:type="firstCol">
      <w:rPr>
        <w:b/>
        <w:color w:val="FFFFFF"/>
        <w:sz w:val="22"/>
      </w:rPr>
      <w:tblPr/>
      <w:tcPr>
        <w:shd w:val="clear" w:color="FFFFFF" w:fill="FFFFFF" w:themeFill="accent5"/>
      </w:tcPr>
    </w:tblStylePr>
    <w:tblStylePr w:type="firstRow">
      <w:rPr>
        <w:b/>
        <w:color w:val="FFFFFF"/>
        <w:sz w:val="22"/>
      </w:rPr>
      <w:tblPr/>
      <w:tcPr>
        <w:shd w:val="clear" w:color="FFFFFF" w:fill="FFFFFF" w:themeFill="accent5"/>
      </w:tcPr>
    </w:tblStylePr>
    <w:tblStylePr w:type="lastCol">
      <w:rPr>
        <w:b/>
        <w:color w:val="FFFFFF"/>
        <w:sz w:val="22"/>
      </w:rPr>
      <w:tblPr/>
      <w:tcPr>
        <w:shd w:val="clear" w:color="FFFFFF" w:fill="FFFFFF" w:themeFill="accent5"/>
      </w:tcPr>
    </w:tblStylePr>
    <w:tblStylePr w:type="lastRow">
      <w:rPr>
        <w:b/>
        <w:color w:val="FFFFFF"/>
        <w:sz w:val="22"/>
      </w:rPr>
      <w:tblPr/>
      <w:tcPr>
        <w:tcBorders>
          <w:top w:val="single" w:color="000000" w:themeColor="light1" w:sz="4" w:space="0"/>
        </w:tcBorders>
        <w:shd w:val="clear" w:color="FFFFFF" w:fill="FFFFFF" w:themeFill="accent5"/>
      </w:tcPr>
    </w:tblStylePr>
  </w:style>
  <w:style w:type="table" w:styleId="815">
    <w:name w:val="Grid Table 5 Dark - Accent 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FFFF" w:themeFill="accent6" w:themeFillTint="75"/>
      </w:tcPr>
    </w:tblStylePr>
    <w:tblStylePr w:type="band1Vert">
      <w:tblPr/>
      <w:tcPr>
        <w:shd w:val="clear" w:color="FFFFFF" w:fill="FFFFFF" w:themeFill="accent6" w:themeFillTint="75"/>
      </w:tcPr>
    </w:tblStylePr>
    <w:tblStylePr w:type="firstCol">
      <w:rPr>
        <w:b/>
        <w:color w:val="FFFFFF"/>
        <w:sz w:val="22"/>
      </w:rPr>
      <w:tblPr/>
      <w:tcPr>
        <w:shd w:val="clear" w:color="FFFFFF" w:fill="FFFFFF" w:themeFill="accent6"/>
      </w:tcPr>
    </w:tblStylePr>
    <w:tblStylePr w:type="firstRow">
      <w:rPr>
        <w:b/>
        <w:color w:val="FFFFFF"/>
        <w:sz w:val="22"/>
      </w:rPr>
      <w:tblPr/>
      <w:tcPr>
        <w:shd w:val="clear" w:color="FFFFFF" w:fill="FFFFFF" w:themeFill="accent6"/>
      </w:tcPr>
    </w:tblStylePr>
    <w:tblStylePr w:type="lastCol">
      <w:rPr>
        <w:b/>
        <w:color w:val="FFFFFF"/>
        <w:sz w:val="22"/>
      </w:rPr>
      <w:tblPr/>
      <w:tcPr>
        <w:shd w:val="clear" w:color="FFFFFF" w:fill="FFFFFF" w:themeFill="accent6"/>
      </w:tcPr>
    </w:tblStylePr>
    <w:tblStylePr w:type="lastRow">
      <w:rPr>
        <w:b/>
        <w:color w:val="FFFFFF"/>
        <w:sz w:val="22"/>
      </w:rPr>
      <w:tblPr/>
      <w:tcPr>
        <w:tcBorders>
          <w:top w:val="single" w:color="000000" w:themeColor="light1" w:sz="4" w:space="0"/>
        </w:tcBorders>
        <w:shd w:val="clear" w:color="FFFFFF" w:fill="FFFFFF" w:themeFill="accent6"/>
      </w:tcPr>
    </w:tblStylePr>
  </w:style>
  <w:style w:type="table" w:styleId="816">
    <w:name w:val="Grid Table 6 Colorful"/>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FFFFFF" w:themeFill="text1" w:themeFillTint="34"/>
      </w:tcPr>
    </w:tblStylePr>
    <w:tblStylePr w:type="band1Vert">
      <w:tblPr/>
      <w:tcPr>
        <w:shd w:val="clear" w:color="FFFFFF" w:fill="FFFFFF"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17">
    <w:name w:val="Grid Table 6 Colorful - Accent 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FFFFFF" w:themeFill="accent1" w:themeFillTint="34"/>
      </w:tcPr>
    </w:tblStylePr>
    <w:tblStylePr w:type="band1Vert">
      <w:tblPr/>
      <w:tcPr>
        <w:shd w:val="clear" w:color="FFFFFF" w:fill="FFFFFF"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18">
    <w:name w:val="Grid Table 6 Colorful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FFFFF" w:themeFill="accent2" w:themeFillTint="32"/>
      </w:tcPr>
    </w:tblStylePr>
    <w:tblStylePr w:type="band1Vert">
      <w:tblPr/>
      <w:tcPr>
        <w:shd w:val="clear" w:color="FFFFFF" w:fill="FFFFFF"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19">
    <w:name w:val="Grid Table 6 Colorful - Accent 3"/>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FFFFFF" w:themeFill="accent3" w:themeFillTint="34"/>
      </w:tcPr>
    </w:tblStylePr>
    <w:tblStylePr w:type="band1Vert">
      <w:tblPr/>
      <w:tcPr>
        <w:shd w:val="clear" w:color="FFFFFF" w:fill="FFFFFF"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20">
    <w:name w:val="Grid Table 6 Colorful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FFFFF" w:themeFill="accent4" w:themeFillTint="34"/>
      </w:tcPr>
    </w:tblStylePr>
    <w:tblStylePr w:type="band1Vert">
      <w:tblPr/>
      <w:tcPr>
        <w:shd w:val="clear" w:color="FFFFFF" w:fill="FFFFFF"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21">
    <w:name w:val="Grid Table 6 Colorful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FFFFFF" w:themeFill="accent5" w:themeFillTint="34"/>
      </w:tcPr>
    </w:tblStylePr>
    <w:tblStylePr w:type="band1Vert">
      <w:tblPr/>
      <w:tcPr>
        <w:shd w:val="clear" w:color="FFFFFF" w:fill="FFFFFF"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22">
    <w:name w:val="Grid Table 6 Colorful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FFFFF" w:themeFill="accent6" w:themeFillTint="34"/>
      </w:tcPr>
    </w:tblStylePr>
    <w:tblStylePr w:type="band1Vert">
      <w:tblPr/>
      <w:tcPr>
        <w:shd w:val="clear" w:color="FFFFFF" w:fill="FFFFFF"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23">
    <w:name w:val="Grid Table 7 Colorful"/>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FFFFF" w:themeFill="text1" w:themeFillTint="0"/>
      </w:tcPr>
    </w:tblStylePr>
    <w:tblStylePr w:type="band1Vert">
      <w:tblPr/>
      <w:tcPr>
        <w:shd w:val="clear" w:color="FFFFFF" w:fill="FFFFFF" w:themeFill="text1" w:themeFillTint="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24">
    <w:name w:val="Grid Table 7 Colorful - Accent 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FFFFFF" w:themeFill="accent1" w:themeFillTint="34"/>
      </w:tcPr>
    </w:tblStylePr>
    <w:tblStylePr w:type="band1Vert">
      <w:tblPr/>
      <w:tcPr>
        <w:shd w:val="clear" w:color="FFFFFF" w:fill="FFFFFF"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fill="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fill="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25">
    <w:name w:val="Grid Table 7 Colorful - Accent 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FFFFF" w:themeFill="accent2" w:themeFillTint="32"/>
      </w:tcPr>
    </w:tblStylePr>
    <w:tblStylePr w:type="band1Vert">
      <w:tblPr/>
      <w:tcPr>
        <w:shd w:val="clear" w:color="FFFFFF" w:fill="FFFFFF"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fill="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fill="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26">
    <w:name w:val="Grid Table 7 Colorful - Accent 3"/>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FFFFFF" w:themeFill="accent3" w:themeFillTint="34"/>
      </w:tcPr>
    </w:tblStylePr>
    <w:tblStylePr w:type="band1Vert">
      <w:tblPr/>
      <w:tcPr>
        <w:shd w:val="clear" w:color="FFFFFF" w:fill="FFFFFF"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fill="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fill="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27">
    <w:name w:val="Grid Table 7 Colorful - Accent 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FFFFFF" w:themeFill="accent4" w:themeFillTint="34"/>
      </w:tcPr>
    </w:tblStylePr>
    <w:tblStylePr w:type="band1Vert">
      <w:tblPr/>
      <w:tcPr>
        <w:shd w:val="clear" w:color="FFFFFF" w:fill="FFFFFF"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fill="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fill="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28">
    <w:name w:val="Grid Table 7 Colorful - Accent 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FFFFFF" w:themeFill="accent5" w:themeFillTint="34"/>
      </w:tcPr>
    </w:tblStylePr>
    <w:tblStylePr w:type="band1Vert">
      <w:tblPr/>
      <w:tcPr>
        <w:shd w:val="clear" w:color="FFFFFF" w:fill="FFFFFF"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fill="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fill="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29">
    <w:name w:val="Grid Table 7 Colorful - Accent 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FFFFF" w:themeFill="accent6" w:themeFillTint="34"/>
      </w:tcPr>
    </w:tblStylePr>
    <w:tblStylePr w:type="band1Vert">
      <w:tblPr/>
      <w:tcPr>
        <w:shd w:val="clear" w:color="FFFFFF" w:fill="FFFFFF"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fill="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fill="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30">
    <w:name w:val="List Table 1 Light"/>
    <w:uiPriority w:val="99"/>
    <w:pPr>
      <w:spacing w:after="0" w:line="240" w:lineRule="auto"/>
    </w:pPr>
    <w:tblPr>
      <w:tblStyleRowBandSize w:val="1"/>
      <w:tblStyleColBandSize w:val="1"/>
    </w:tblPr>
    <w:tblStylePr w:type="band1Horz">
      <w:tblPr/>
      <w:tcPr>
        <w:shd w:val="clear" w:color="FFFFFF" w:fill="FFFFFF" w:themeFill="text1" w:themeFillTint="40"/>
      </w:tcPr>
    </w:tblStylePr>
    <w:tblStylePr w:type="band1Vert">
      <w:tblPr/>
      <w:tcPr>
        <w:shd w:val="clear" w:color="FFFFFF" w:fill="FFFFF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831">
    <w:name w:val="List Table 1 Light - Accent 1"/>
    <w:uiPriority w:val="99"/>
    <w:pPr>
      <w:spacing w:after="0" w:line="240" w:lineRule="auto"/>
    </w:pPr>
    <w:tblPr>
      <w:tblStyleRowBandSize w:val="1"/>
      <w:tblStyleColBandSize w:val="1"/>
    </w:tblPr>
    <w:tblStylePr w:type="band1Horz">
      <w:tblPr/>
      <w:tcPr>
        <w:shd w:val="clear" w:color="FFFFFF" w:fill="FFFFFF" w:themeFill="accent1" w:themeFillTint="40"/>
      </w:tcPr>
    </w:tblStylePr>
    <w:tblStylePr w:type="band1Vert">
      <w:tblPr/>
      <w:tcPr>
        <w:shd w:val="clear" w:color="FFFFFF" w:fill="FFFFFF"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32">
    <w:name w:val="List Table 1 Light - Accent 2"/>
    <w:uiPriority w:val="99"/>
    <w:pPr>
      <w:spacing w:after="0" w:line="240" w:lineRule="auto"/>
    </w:pPr>
    <w:tblPr>
      <w:tblStyleRowBandSize w:val="1"/>
      <w:tblStyleColBandSize w:val="1"/>
    </w:tblPr>
    <w:tblStylePr w:type="band1Horz">
      <w:tblPr/>
      <w:tcPr>
        <w:shd w:val="clear" w:color="FFFFFF" w:fill="FFFFFF" w:themeFill="accent2" w:themeFillTint="40"/>
      </w:tcPr>
    </w:tblStylePr>
    <w:tblStylePr w:type="band1Vert">
      <w:tblPr/>
      <w:tcPr>
        <w:shd w:val="clear" w:color="FFFFFF" w:fill="FFFFFF"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33">
    <w:name w:val="List Table 1 Light - Accent 3"/>
    <w:uiPriority w:val="99"/>
    <w:pPr>
      <w:spacing w:after="0" w:line="240" w:lineRule="auto"/>
    </w:pPr>
    <w:tblPr>
      <w:tblStyleRowBandSize w:val="1"/>
      <w:tblStyleColBandSize w:val="1"/>
    </w:tblPr>
    <w:tblStylePr w:type="band1Horz">
      <w:tblPr/>
      <w:tcPr>
        <w:shd w:val="clear" w:color="FFFFFF" w:fill="FFFFFF" w:themeFill="accent3" w:themeFillTint="40"/>
      </w:tcPr>
    </w:tblStylePr>
    <w:tblStylePr w:type="band1Vert">
      <w:tblPr/>
      <w:tcPr>
        <w:shd w:val="clear" w:color="FFFFFF" w:fill="FFFFFF"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34">
    <w:name w:val="List Table 1 Light - Accent 4"/>
    <w:uiPriority w:val="99"/>
    <w:pPr>
      <w:spacing w:after="0" w:line="240" w:lineRule="auto"/>
    </w:pPr>
    <w:tblPr>
      <w:tblStyleRowBandSize w:val="1"/>
      <w:tblStyleColBandSize w:val="1"/>
    </w:tblPr>
    <w:tblStylePr w:type="band1Horz">
      <w:tblPr/>
      <w:tcPr>
        <w:shd w:val="clear" w:color="FFFFFF" w:fill="FFFFFF" w:themeFill="accent4" w:themeFillTint="40"/>
      </w:tcPr>
    </w:tblStylePr>
    <w:tblStylePr w:type="band1Vert">
      <w:tblPr/>
      <w:tcPr>
        <w:shd w:val="clear" w:color="FFFFFF" w:fill="FFFFF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35">
    <w:name w:val="List Table 1 Light - Accent 5"/>
    <w:uiPriority w:val="99"/>
    <w:pPr>
      <w:spacing w:after="0" w:line="240" w:lineRule="auto"/>
    </w:pPr>
    <w:tblPr>
      <w:tblStyleRowBandSize w:val="1"/>
      <w:tblStyleColBandSize w:val="1"/>
    </w:tblPr>
    <w:tblStylePr w:type="band1Horz">
      <w:tblPr/>
      <w:tcPr>
        <w:shd w:val="clear" w:color="FFFFFF" w:fill="FFFFFF" w:themeFill="accent5" w:themeFillTint="40"/>
      </w:tcPr>
    </w:tblStylePr>
    <w:tblStylePr w:type="band1Vert">
      <w:tblPr/>
      <w:tcPr>
        <w:shd w:val="clear" w:color="FFFFFF" w:fill="FFFFFF"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36">
    <w:name w:val="List Table 1 Light - Accent 6"/>
    <w:uiPriority w:val="99"/>
    <w:pPr>
      <w:spacing w:after="0" w:line="240" w:lineRule="auto"/>
    </w:pPr>
    <w:tblPr>
      <w:tblStyleRowBandSize w:val="1"/>
      <w:tblStyleColBandSize w:val="1"/>
    </w:tblPr>
    <w:tblStylePr w:type="band1Horz">
      <w:tblPr/>
      <w:tcPr>
        <w:shd w:val="clear" w:color="FFFFFF" w:fill="FFFFFF" w:themeFill="accent6" w:themeFillTint="40"/>
      </w:tcPr>
    </w:tblStylePr>
    <w:tblStylePr w:type="band1Vert">
      <w:tblPr/>
      <w:tcPr>
        <w:shd w:val="clear" w:color="FFFFFF" w:fill="FFFFFF"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37">
    <w:name w:val="List Table 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FFFFFF" w:themeFill="text1" w:themeFillTint="40"/>
      </w:tcPr>
    </w:tblStylePr>
    <w:tblStylePr w:type="band1Vert">
      <w:rPr>
        <w:color w:val="404040"/>
        <w:sz w:val="22"/>
      </w:rPr>
      <w:tblPr/>
      <w:tcPr>
        <w:shd w:val="clear" w:color="FFFFFF" w:fill="FFFFF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38">
    <w:name w:val="List Table 2 - Accent 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FFFFFF" w:themeFill="accent1" w:themeFillTint="40"/>
      </w:tcPr>
    </w:tblStylePr>
    <w:tblStylePr w:type="band1Vert">
      <w:rPr>
        <w:color w:val="404040"/>
        <w:sz w:val="22"/>
      </w:rPr>
      <w:tblPr/>
      <w:tcPr>
        <w:shd w:val="clear" w:color="FFFFFF" w:fill="FFFFFF"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39">
    <w:name w:val="List Table 2 - Accent 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FFFFF" w:themeFill="accent2" w:themeFillTint="40"/>
      </w:tcPr>
    </w:tblStylePr>
    <w:tblStylePr w:type="band1Vert">
      <w:rPr>
        <w:color w:val="404040"/>
        <w:sz w:val="22"/>
      </w:rPr>
      <w:tblPr/>
      <w:tcPr>
        <w:shd w:val="clear" w:color="FFFFFF" w:fill="FFFFFF"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40">
    <w:name w:val="List Table 2 - Accent 3"/>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FFFFFF" w:themeFill="accent3" w:themeFillTint="40"/>
      </w:tcPr>
    </w:tblStylePr>
    <w:tblStylePr w:type="band1Vert">
      <w:rPr>
        <w:color w:val="404040"/>
        <w:sz w:val="22"/>
      </w:rPr>
      <w:tblPr/>
      <w:tcPr>
        <w:shd w:val="clear" w:color="FFFFFF" w:fill="FFFFFF"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41">
    <w:name w:val="List Table 2 - Accent 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FFFF" w:themeFill="accent4" w:themeFillTint="40"/>
      </w:tcPr>
    </w:tblStylePr>
    <w:tblStylePr w:type="band1Vert">
      <w:rPr>
        <w:color w:val="404040"/>
        <w:sz w:val="22"/>
      </w:rPr>
      <w:tblPr/>
      <w:tcPr>
        <w:shd w:val="clear" w:color="FFFFFF" w:fill="FFFFF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42">
    <w:name w:val="List Table 2 - Accent 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FFFFFF" w:themeFill="accent5" w:themeFillTint="40"/>
      </w:tcPr>
    </w:tblStylePr>
    <w:tblStylePr w:type="band1Vert">
      <w:rPr>
        <w:color w:val="404040"/>
        <w:sz w:val="22"/>
      </w:rPr>
      <w:tblPr/>
      <w:tcPr>
        <w:shd w:val="clear" w:color="FFFFFF" w:fill="FFFFFF"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43">
    <w:name w:val="List Table 2 - Accent 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FFFFFF" w:themeFill="accent6" w:themeFillTint="40"/>
      </w:tcPr>
    </w:tblStylePr>
    <w:tblStylePr w:type="band1Vert">
      <w:rPr>
        <w:color w:val="404040"/>
        <w:sz w:val="22"/>
      </w:rPr>
      <w:tblPr/>
      <w:tcPr>
        <w:shd w:val="clear" w:color="FFFFFF" w:fill="FFFFFF"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44">
    <w:name w:val="List Table 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FFFFFF" w:themeFill="text1"/>
      </w:tcPr>
    </w:tblStylePr>
    <w:tblStylePr w:type="lastCol">
      <w:rPr>
        <w:b/>
        <w:color w:val="404040"/>
      </w:rPr>
      <w:tblPr/>
    </w:tblStylePr>
    <w:tblStylePr w:type="lastRow">
      <w:rPr>
        <w:b/>
        <w:color w:val="404040"/>
      </w:rPr>
      <w:tblPr/>
    </w:tblStylePr>
  </w:style>
  <w:style w:type="table" w:styleId="845">
    <w:name w:val="List Table 3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FFFFFF" w:themeFill="accent1"/>
      </w:tcPr>
    </w:tblStylePr>
    <w:tblStylePr w:type="lastCol">
      <w:rPr>
        <w:b/>
        <w:color w:val="404040"/>
      </w:rPr>
      <w:tblPr/>
    </w:tblStylePr>
    <w:tblStylePr w:type="lastRow">
      <w:rPr>
        <w:b/>
        <w:color w:val="404040"/>
      </w:rPr>
      <w:tblPr/>
    </w:tblStylePr>
  </w:style>
  <w:style w:type="table" w:styleId="846">
    <w:name w:val="List Table 3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FFFFF" w:themeFill="accent2" w:themeFillTint="97"/>
      </w:tcPr>
    </w:tblStylePr>
    <w:tblStylePr w:type="lastCol">
      <w:rPr>
        <w:b/>
        <w:color w:val="404040"/>
      </w:rPr>
      <w:tblPr/>
    </w:tblStylePr>
    <w:tblStylePr w:type="lastRow">
      <w:rPr>
        <w:b/>
        <w:color w:val="404040"/>
      </w:rPr>
      <w:tblPr/>
    </w:tblStylePr>
  </w:style>
  <w:style w:type="table" w:styleId="847">
    <w:name w:val="List Table 3 - Accent 3"/>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FFFFFF" w:themeFill="accent3" w:themeFillTint="98"/>
      </w:tcPr>
    </w:tblStylePr>
    <w:tblStylePr w:type="lastCol">
      <w:rPr>
        <w:b/>
        <w:color w:val="404040"/>
      </w:rPr>
      <w:tblPr/>
    </w:tblStylePr>
    <w:tblStylePr w:type="lastRow">
      <w:rPr>
        <w:b/>
        <w:color w:val="404040"/>
      </w:rPr>
      <w:tblPr/>
    </w:tblStylePr>
  </w:style>
  <w:style w:type="table" w:styleId="848">
    <w:name w:val="List Table 3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FFFF" w:themeFill="accent4" w:themeFillTint="9a"/>
      </w:tcPr>
    </w:tblStylePr>
    <w:tblStylePr w:type="lastCol">
      <w:rPr>
        <w:b/>
        <w:color w:val="404040"/>
      </w:rPr>
      <w:tblPr/>
    </w:tblStylePr>
    <w:tblStylePr w:type="lastRow">
      <w:rPr>
        <w:b/>
        <w:color w:val="404040"/>
      </w:rPr>
      <w:tblPr/>
    </w:tblStylePr>
  </w:style>
  <w:style w:type="table" w:styleId="849">
    <w:name w:val="List Table 3 - Accent 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FFFFFF" w:themeFill="accent5" w:themeFillTint="9a"/>
      </w:tcPr>
    </w:tblStylePr>
    <w:tblStylePr w:type="lastCol">
      <w:rPr>
        <w:b/>
        <w:color w:val="404040"/>
      </w:rPr>
      <w:tblPr/>
    </w:tblStylePr>
    <w:tblStylePr w:type="lastRow">
      <w:rPr>
        <w:b/>
        <w:color w:val="404040"/>
      </w:rPr>
      <w:tblPr/>
    </w:tblStylePr>
  </w:style>
  <w:style w:type="table" w:styleId="850">
    <w:name w:val="List Table 3 - Accent 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FFFFFF" w:themeFill="accent6" w:themeFillTint="98"/>
      </w:tcPr>
    </w:tblStylePr>
    <w:tblStylePr w:type="lastCol">
      <w:rPr>
        <w:b/>
        <w:color w:val="404040"/>
      </w:rPr>
      <w:tblPr/>
    </w:tblStylePr>
    <w:tblStylePr w:type="lastRow">
      <w:rPr>
        <w:b/>
        <w:color w:val="404040"/>
      </w:rPr>
      <w:tblPr/>
    </w:tblStylePr>
  </w:style>
  <w:style w:type="table" w:styleId="851">
    <w:name w:val="List Table 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FFFFFF" w:themeFill="text1" w:themeFillTint="40"/>
      </w:tcPr>
    </w:tblStylePr>
    <w:tblStylePr w:type="band1Vert">
      <w:rPr>
        <w:color w:val="404040"/>
        <w:sz w:val="22"/>
      </w:rPr>
      <w:tblPr/>
      <w:tcPr>
        <w:shd w:val="clear" w:color="FFFFFF" w:fill="FFFFFF" w:themeFill="text1" w:themeFillTint="40"/>
      </w:tcPr>
    </w:tblStylePr>
    <w:tblStylePr w:type="firstCol">
      <w:rPr>
        <w:b/>
        <w:color w:val="404040"/>
      </w:rPr>
      <w:tblPr/>
    </w:tblStylePr>
    <w:tblStylePr w:type="firstRow">
      <w:rPr>
        <w:b/>
        <w:color w:val="FFFFFF"/>
        <w:sz w:val="22"/>
      </w:rPr>
      <w:tblPr/>
      <w:tcPr>
        <w:shd w:val="clear" w:color="FFFFFF" w:fill="FFFFFF" w:themeFill="text1"/>
      </w:tcPr>
    </w:tblStylePr>
    <w:tblStylePr w:type="lastCol">
      <w:rPr>
        <w:b/>
        <w:color w:val="404040"/>
      </w:rPr>
      <w:tblPr/>
    </w:tblStylePr>
    <w:tblStylePr w:type="lastRow">
      <w:rPr>
        <w:b/>
        <w:color w:val="404040"/>
      </w:rPr>
      <w:tblPr/>
    </w:tblStylePr>
  </w:style>
  <w:style w:type="table" w:styleId="852">
    <w:name w:val="List Table 4 - Accent 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FFFFFF" w:themeFill="accent1" w:themeFillTint="40"/>
      </w:tcPr>
    </w:tblStylePr>
    <w:tblStylePr w:type="band1Vert">
      <w:rPr>
        <w:color w:val="404040"/>
        <w:sz w:val="22"/>
      </w:rPr>
      <w:tblPr/>
      <w:tcPr>
        <w:shd w:val="clear" w:color="FFFFFF" w:fill="FFFFFF" w:themeFill="accent1" w:themeFillTint="40"/>
      </w:tcPr>
    </w:tblStylePr>
    <w:tblStylePr w:type="firstCol">
      <w:rPr>
        <w:b/>
        <w:color w:val="404040"/>
      </w:rPr>
      <w:tblPr/>
    </w:tblStylePr>
    <w:tblStylePr w:type="firstRow">
      <w:rPr>
        <w:b/>
        <w:color w:val="FFFFFF"/>
        <w:sz w:val="22"/>
      </w:rPr>
      <w:tblPr/>
      <w:tcPr>
        <w:shd w:val="clear" w:color="FFFFFF" w:fill="FFFFFF" w:themeFill="accent1"/>
      </w:tcPr>
    </w:tblStylePr>
    <w:tblStylePr w:type="lastCol">
      <w:rPr>
        <w:b/>
        <w:color w:val="404040"/>
      </w:rPr>
      <w:tblPr/>
    </w:tblStylePr>
    <w:tblStylePr w:type="lastRow">
      <w:rPr>
        <w:b/>
        <w:color w:val="404040"/>
      </w:rPr>
      <w:tblPr/>
    </w:tblStylePr>
  </w:style>
  <w:style w:type="table" w:styleId="853">
    <w:name w:val="List Table 4 - Accent 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FFFFF" w:themeFill="accent2" w:themeFillTint="40"/>
      </w:tcPr>
    </w:tblStylePr>
    <w:tblStylePr w:type="band1Vert">
      <w:rPr>
        <w:color w:val="404040"/>
        <w:sz w:val="22"/>
      </w:rPr>
      <w:tblPr/>
      <w:tcPr>
        <w:shd w:val="clear" w:color="FFFFFF" w:fill="FFFFFF" w:themeFill="accent2" w:themeFillTint="40"/>
      </w:tcPr>
    </w:tblStylePr>
    <w:tblStylePr w:type="firstCol">
      <w:rPr>
        <w:b/>
        <w:color w:val="404040"/>
      </w:rPr>
      <w:tblPr/>
    </w:tblStylePr>
    <w:tblStylePr w:type="firstRow">
      <w:rPr>
        <w:b/>
        <w:color w:val="FFFFFF"/>
        <w:sz w:val="22"/>
      </w:rPr>
      <w:tblPr/>
      <w:tcPr>
        <w:shd w:val="clear" w:color="FFFFFF" w:fill="FFFFFF" w:themeFill="accent2"/>
      </w:tcPr>
    </w:tblStylePr>
    <w:tblStylePr w:type="lastCol">
      <w:rPr>
        <w:b/>
        <w:color w:val="404040"/>
      </w:rPr>
      <w:tblPr/>
    </w:tblStylePr>
    <w:tblStylePr w:type="lastRow">
      <w:rPr>
        <w:b/>
        <w:color w:val="404040"/>
      </w:rPr>
      <w:tblPr/>
    </w:tblStylePr>
  </w:style>
  <w:style w:type="table" w:styleId="854">
    <w:name w:val="List Table 4 - Accent 3"/>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FFFFFF" w:themeFill="accent3" w:themeFillTint="40"/>
      </w:tcPr>
    </w:tblStylePr>
    <w:tblStylePr w:type="band1Vert">
      <w:rPr>
        <w:color w:val="404040"/>
        <w:sz w:val="22"/>
      </w:rPr>
      <w:tblPr/>
      <w:tcPr>
        <w:shd w:val="clear" w:color="FFFFFF" w:fill="FFFFFF" w:themeFill="accent3" w:themeFillTint="40"/>
      </w:tcPr>
    </w:tblStylePr>
    <w:tblStylePr w:type="firstCol">
      <w:rPr>
        <w:b/>
        <w:color w:val="404040"/>
      </w:rPr>
      <w:tblPr/>
    </w:tblStylePr>
    <w:tblStylePr w:type="firstRow">
      <w:rPr>
        <w:b/>
        <w:color w:val="FFFFFF"/>
        <w:sz w:val="22"/>
      </w:rPr>
      <w:tblPr/>
      <w:tcPr>
        <w:shd w:val="clear" w:color="FFFFFF" w:fill="FFFFFF" w:themeFill="accent3"/>
      </w:tcPr>
    </w:tblStylePr>
    <w:tblStylePr w:type="lastCol">
      <w:rPr>
        <w:b/>
        <w:color w:val="404040"/>
      </w:rPr>
      <w:tblPr/>
    </w:tblStylePr>
    <w:tblStylePr w:type="lastRow">
      <w:rPr>
        <w:b/>
        <w:color w:val="404040"/>
      </w:rPr>
      <w:tblPr/>
    </w:tblStylePr>
  </w:style>
  <w:style w:type="table" w:styleId="855">
    <w:name w:val="List Table 4 - Accent 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FFFF" w:themeFill="accent4" w:themeFillTint="40"/>
      </w:tcPr>
    </w:tblStylePr>
    <w:tblStylePr w:type="band1Vert">
      <w:rPr>
        <w:color w:val="404040"/>
        <w:sz w:val="22"/>
      </w:rPr>
      <w:tblPr/>
      <w:tcPr>
        <w:shd w:val="clear" w:color="FFFFFF" w:fill="FFFFFF" w:themeFill="accent4" w:themeFillTint="40"/>
      </w:tcPr>
    </w:tblStylePr>
    <w:tblStylePr w:type="firstCol">
      <w:rPr>
        <w:b/>
        <w:color w:val="404040"/>
      </w:rPr>
      <w:tblPr/>
    </w:tblStylePr>
    <w:tblStylePr w:type="firstRow">
      <w:rPr>
        <w:b/>
        <w:color w:val="FFFFFF"/>
        <w:sz w:val="22"/>
      </w:rPr>
      <w:tblPr/>
      <w:tcPr>
        <w:shd w:val="clear" w:color="FFFFFF" w:fill="FFFFFF" w:themeFill="accent4"/>
      </w:tcPr>
    </w:tblStylePr>
    <w:tblStylePr w:type="lastCol">
      <w:rPr>
        <w:b/>
        <w:color w:val="404040"/>
      </w:rPr>
      <w:tblPr/>
    </w:tblStylePr>
    <w:tblStylePr w:type="lastRow">
      <w:rPr>
        <w:b/>
        <w:color w:val="404040"/>
      </w:rPr>
      <w:tblPr/>
    </w:tblStylePr>
  </w:style>
  <w:style w:type="table" w:styleId="856">
    <w:name w:val="List Table 4 - Accent 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FFFFFF" w:themeFill="accent5" w:themeFillTint="40"/>
      </w:tcPr>
    </w:tblStylePr>
    <w:tblStylePr w:type="band1Vert">
      <w:rPr>
        <w:color w:val="404040"/>
        <w:sz w:val="22"/>
      </w:rPr>
      <w:tblPr/>
      <w:tcPr>
        <w:shd w:val="clear" w:color="FFFFFF" w:fill="FFFFFF" w:themeFill="accent5" w:themeFillTint="40"/>
      </w:tcPr>
    </w:tblStylePr>
    <w:tblStylePr w:type="firstCol">
      <w:rPr>
        <w:b/>
        <w:color w:val="404040"/>
      </w:rPr>
      <w:tblPr/>
    </w:tblStylePr>
    <w:tblStylePr w:type="firstRow">
      <w:rPr>
        <w:b/>
        <w:color w:val="FFFFFF"/>
        <w:sz w:val="22"/>
      </w:rPr>
      <w:tblPr/>
      <w:tcPr>
        <w:shd w:val="clear" w:color="FFFFFF" w:fill="FFFFFF" w:themeFill="accent5"/>
      </w:tcPr>
    </w:tblStylePr>
    <w:tblStylePr w:type="lastCol">
      <w:rPr>
        <w:b/>
        <w:color w:val="404040"/>
      </w:rPr>
      <w:tblPr/>
    </w:tblStylePr>
    <w:tblStylePr w:type="lastRow">
      <w:rPr>
        <w:b/>
        <w:color w:val="404040"/>
      </w:rPr>
      <w:tblPr/>
    </w:tblStylePr>
  </w:style>
  <w:style w:type="table" w:styleId="857">
    <w:name w:val="List Table 4 - Accent 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FFFFFF" w:themeFill="accent6" w:themeFillTint="40"/>
      </w:tcPr>
    </w:tblStylePr>
    <w:tblStylePr w:type="band1Vert">
      <w:rPr>
        <w:color w:val="404040"/>
        <w:sz w:val="22"/>
      </w:rPr>
      <w:tblPr/>
      <w:tcPr>
        <w:shd w:val="clear" w:color="FFFFFF" w:fill="FFFFFF" w:themeFill="accent6" w:themeFillTint="40"/>
      </w:tcPr>
    </w:tblStylePr>
    <w:tblStylePr w:type="firstCol">
      <w:rPr>
        <w:b/>
        <w:color w:val="404040"/>
      </w:rPr>
      <w:tblPr/>
    </w:tblStylePr>
    <w:tblStylePr w:type="firstRow">
      <w:rPr>
        <w:b/>
        <w:color w:val="FFFFFF"/>
        <w:sz w:val="22"/>
      </w:rPr>
      <w:tblPr/>
      <w:tcPr>
        <w:shd w:val="clear" w:color="FFFFFF" w:fill="FFFFFF" w:themeFill="accent6"/>
      </w:tcPr>
    </w:tblStylePr>
    <w:tblStylePr w:type="lastCol">
      <w:rPr>
        <w:b/>
        <w:color w:val="404040"/>
      </w:rPr>
      <w:tblPr/>
    </w:tblStylePr>
    <w:tblStylePr w:type="lastRow">
      <w:rPr>
        <w:b/>
        <w:color w:val="404040"/>
      </w:rPr>
      <w:tblPr/>
    </w:tblStylePr>
  </w:style>
  <w:style w:type="table" w:styleId="858">
    <w:name w:val="List Table 5 Dark"/>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FFFFFF" w:themeFill="text1" w:themeFillTint="80"/>
      </w:tcPr>
    </w:tblStylePr>
    <w:tblStylePr w:type="band1Vert">
      <w:tblPr/>
      <w:tcPr>
        <w:tcBorders>
          <w:left w:val="single" w:color="000000" w:themeColor="light1" w:sz="4" w:space="0"/>
          <w:right w:val="single" w:color="000000" w:themeColor="light1" w:sz="4" w:space="0"/>
        </w:tcBorders>
        <w:shd w:val="clear" w:color="FFFFFF" w:fill="FFFFFF" w:themeFill="text1" w:themeFillTint="80"/>
      </w:tcPr>
    </w:tblStylePr>
    <w:tblStylePr w:type="band2Horz">
      <w:tblPr/>
      <w:tcPr>
        <w:tcBorders>
          <w:top w:val="single" w:color="000000" w:themeColor="light1" w:sz="4" w:space="0"/>
          <w:bottom w:val="single" w:color="000000" w:themeColor="light1" w:sz="4" w:space="0"/>
        </w:tcBorders>
        <w:shd w:val="clear" w:color="FFFFFF" w:fill="FFFFF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FFFFF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9">
    <w:name w:val="List Table 5 Dark - Accent 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FFFFFF" w:themeFill="accent1"/>
      </w:tcPr>
    </w:tblStylePr>
    <w:tblStylePr w:type="band1Vert">
      <w:tblPr/>
      <w:tcPr>
        <w:tcBorders>
          <w:left w:val="single" w:color="000000" w:themeColor="light1" w:sz="4" w:space="0"/>
          <w:right w:val="single" w:color="000000" w:themeColor="light1" w:sz="4" w:space="0"/>
        </w:tcBorders>
        <w:shd w:val="clear" w:color="FFFFFF" w:fill="FFFFFF" w:themeFill="accent1"/>
      </w:tcPr>
    </w:tblStylePr>
    <w:tblStylePr w:type="band2Horz">
      <w:tblPr/>
      <w:tcPr>
        <w:tcBorders>
          <w:top w:val="single" w:color="000000" w:themeColor="light1" w:sz="4" w:space="0"/>
          <w:bottom w:val="single" w:color="000000" w:themeColor="light1" w:sz="4" w:space="0"/>
        </w:tcBorders>
        <w:shd w:val="clear" w:color="FFFFFF" w:fill="FFFFFF"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FFFFFF"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0">
    <w:name w:val="List Table 5 Dark - Accent 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FFFFF" w:themeFill="accent2" w:themeFillTint="97"/>
      </w:tcPr>
    </w:tblStylePr>
    <w:tblStylePr w:type="band1Vert">
      <w:tblPr/>
      <w:tcPr>
        <w:tcBorders>
          <w:left w:val="single" w:color="000000" w:themeColor="light1" w:sz="4" w:space="0"/>
          <w:right w:val="single" w:color="000000" w:themeColor="light1" w:sz="4" w:space="0"/>
        </w:tcBorders>
        <w:shd w:val="clear" w:color="FFFFFF" w:fill="FFFFFF" w:themeFill="accent2" w:themeFillTint="97"/>
      </w:tcPr>
    </w:tblStylePr>
    <w:tblStylePr w:type="band2Horz">
      <w:tblPr/>
      <w:tcPr>
        <w:tcBorders>
          <w:top w:val="single" w:color="000000" w:themeColor="light1" w:sz="4" w:space="0"/>
          <w:bottom w:val="single" w:color="000000" w:themeColor="light1" w:sz="4" w:space="0"/>
        </w:tcBorders>
        <w:shd w:val="clear" w:color="FFFFFF" w:fill="FFFFFF"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FFFFF"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1">
    <w:name w:val="List Table 5 Dark - Accent 3"/>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FFFFFF" w:themeFill="accent3" w:themeFillTint="98"/>
      </w:tcPr>
    </w:tblStylePr>
    <w:tblStylePr w:type="band1Vert">
      <w:tblPr/>
      <w:tcPr>
        <w:tcBorders>
          <w:left w:val="single" w:color="000000" w:themeColor="light1" w:sz="4" w:space="0"/>
          <w:right w:val="single" w:color="000000" w:themeColor="light1" w:sz="4" w:space="0"/>
        </w:tcBorders>
        <w:shd w:val="clear" w:color="FFFFFF" w:fill="FFFFFF" w:themeFill="accent3" w:themeFillTint="98"/>
      </w:tcPr>
    </w:tblStylePr>
    <w:tblStylePr w:type="band2Horz">
      <w:tblPr/>
      <w:tcPr>
        <w:tcBorders>
          <w:top w:val="single" w:color="000000" w:themeColor="light1" w:sz="4" w:space="0"/>
          <w:bottom w:val="single" w:color="000000" w:themeColor="light1" w:sz="4" w:space="0"/>
        </w:tcBorders>
        <w:shd w:val="clear" w:color="FFFFFF" w:fill="FFFFFF"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FFFFFF"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2">
    <w:name w:val="List Table 5 Dark - Accent 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FFFF" w:themeFill="accent4" w:themeFillTint="9a"/>
      </w:tcPr>
    </w:tblStylePr>
    <w:tblStylePr w:type="band1Vert">
      <w:tblPr/>
      <w:tcPr>
        <w:tcBorders>
          <w:left w:val="single" w:color="000000" w:themeColor="light1" w:sz="4" w:space="0"/>
          <w:right w:val="single" w:color="000000" w:themeColor="light1" w:sz="4" w:space="0"/>
        </w:tcBorders>
        <w:shd w:val="clear" w:color="FFFFFF" w:fill="FFFFFF" w:themeFill="accent4" w:themeFillTint="9a"/>
      </w:tcPr>
    </w:tblStylePr>
    <w:tblStylePr w:type="band2Horz">
      <w:tblPr/>
      <w:tcPr>
        <w:tcBorders>
          <w:top w:val="single" w:color="000000" w:themeColor="light1" w:sz="4" w:space="0"/>
          <w:bottom w:val="single" w:color="000000" w:themeColor="light1" w:sz="4" w:space="0"/>
        </w:tcBorders>
        <w:shd w:val="clear" w:color="FFFFFF" w:fill="FFFFFF"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FFFF"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3">
    <w:name w:val="List Table 5 Dark - Accent 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FFFFFF" w:themeFill="accent5" w:themeFillTint="9a"/>
      </w:tcPr>
    </w:tblStylePr>
    <w:tblStylePr w:type="band1Vert">
      <w:tblPr/>
      <w:tcPr>
        <w:tcBorders>
          <w:left w:val="single" w:color="000000" w:themeColor="light1" w:sz="4" w:space="0"/>
          <w:right w:val="single" w:color="000000" w:themeColor="light1" w:sz="4" w:space="0"/>
        </w:tcBorders>
        <w:shd w:val="clear" w:color="FFFFFF" w:fill="FFFFFF" w:themeFill="accent5" w:themeFillTint="9a"/>
      </w:tcPr>
    </w:tblStylePr>
    <w:tblStylePr w:type="band2Horz">
      <w:tblPr/>
      <w:tcPr>
        <w:tcBorders>
          <w:top w:val="single" w:color="000000" w:themeColor="light1" w:sz="4" w:space="0"/>
          <w:bottom w:val="single" w:color="000000" w:themeColor="light1" w:sz="4" w:space="0"/>
        </w:tcBorders>
        <w:shd w:val="clear" w:color="FFFFFF" w:fill="FFFFFF"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FFFFFF"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4">
    <w:name w:val="List Table 5 Dark - Accent 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FFFFF" w:themeFill="accent6" w:themeFillTint="98"/>
      </w:tcPr>
    </w:tblStylePr>
    <w:tblStylePr w:type="band1Vert">
      <w:tblPr/>
      <w:tcPr>
        <w:tcBorders>
          <w:left w:val="single" w:color="000000" w:themeColor="light1" w:sz="4" w:space="0"/>
          <w:right w:val="single" w:color="000000" w:themeColor="light1" w:sz="4" w:space="0"/>
        </w:tcBorders>
        <w:shd w:val="clear" w:color="FFFFFF" w:fill="FFFFFF" w:themeFill="accent6" w:themeFillTint="98"/>
      </w:tcPr>
    </w:tblStylePr>
    <w:tblStylePr w:type="band2Horz">
      <w:tblPr/>
      <w:tcPr>
        <w:tcBorders>
          <w:top w:val="single" w:color="000000" w:themeColor="light1" w:sz="4" w:space="0"/>
          <w:bottom w:val="single" w:color="000000" w:themeColor="light1" w:sz="4" w:space="0"/>
        </w:tcBorders>
        <w:shd w:val="clear" w:color="FFFFFF" w:fill="FFFFF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FFFF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5">
    <w:name w:val="List Table 6 Colorful"/>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FFFFFF" w:themeFill="text1" w:themeFillTint="40"/>
      </w:tcPr>
    </w:tblStylePr>
    <w:tblStylePr w:type="band1Vert">
      <w:tblPr/>
      <w:tcPr>
        <w:shd w:val="clear" w:color="FFFFFF" w:fill="FFFFF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866">
    <w:name w:val="List Table 6 Colorful - Accent 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FFFFFF" w:themeFill="accent1" w:themeFillTint="40"/>
      </w:tcPr>
    </w:tblStylePr>
    <w:tblStylePr w:type="band1Vert">
      <w:tblPr/>
      <w:tcPr>
        <w:shd w:val="clear" w:color="FFFFFF" w:fill="FFFFFF"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867">
    <w:name w:val="List Table 6 Colorful - Accent 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FFFFF" w:themeFill="accent2" w:themeFillTint="40"/>
      </w:tcPr>
    </w:tblStylePr>
    <w:tblStylePr w:type="band1Vert">
      <w:tblPr/>
      <w:tcPr>
        <w:shd w:val="clear" w:color="FFFFFF" w:fill="FFFFFF"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868">
    <w:name w:val="List Table 6 Colorful - Accent 3"/>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FFFFFF" w:themeFill="accent3" w:themeFillTint="40"/>
      </w:tcPr>
    </w:tblStylePr>
    <w:tblStylePr w:type="band1Vert">
      <w:tblPr/>
      <w:tcPr>
        <w:shd w:val="clear" w:color="FFFFFF" w:fill="FFFFFF"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869">
    <w:name w:val="List Table 6 Colorful - Accent 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FFFF" w:themeFill="accent4" w:themeFillTint="40"/>
      </w:tcPr>
    </w:tblStylePr>
    <w:tblStylePr w:type="band1Vert">
      <w:tblPr/>
      <w:tcPr>
        <w:shd w:val="clear" w:color="FFFFFF" w:fill="FFFFFF"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870">
    <w:name w:val="List Table 6 Colorful - Accent 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FFFFFF" w:themeFill="accent5" w:themeFillTint="40"/>
      </w:tcPr>
    </w:tblStylePr>
    <w:tblStylePr w:type="band1Vert">
      <w:tblPr/>
      <w:tcPr>
        <w:shd w:val="clear" w:color="FFFFFF" w:fill="FFFFFF"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871">
    <w:name w:val="List Table 6 Colorful - Accent 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FFFFF" w:themeFill="accent6" w:themeFillTint="40"/>
      </w:tcPr>
    </w:tblStylePr>
    <w:tblStylePr w:type="band1Vert">
      <w:tblPr/>
      <w:tcPr>
        <w:shd w:val="clear" w:color="FFFFFF" w:fill="FFFFFF"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872">
    <w:name w:val="List Table 7 Colorful"/>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FFFFFF" w:themeFill="text1" w:themeFillTint="40"/>
      </w:tcPr>
    </w:tblStylePr>
    <w:tblStylePr w:type="band1Vert">
      <w:tblPr/>
      <w:tcPr>
        <w:shd w:val="clear" w:color="FFFFFF" w:fill="FFFFF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873">
    <w:name w:val="List Table 7 Colorful - Accent 1"/>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FFFFFF" w:themeFill="accent1" w:themeFillTint="40"/>
      </w:tcPr>
    </w:tblStylePr>
    <w:tblStylePr w:type="band1Vert">
      <w:tblPr/>
      <w:tcPr>
        <w:shd w:val="clear" w:color="FFFFFF" w:fill="FFFFFF"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fill="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fill="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874">
    <w:name w:val="List Table 7 Colorful - Accent 2"/>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FFFFFF" w:themeFill="accent2" w:themeFillTint="40"/>
      </w:tcPr>
    </w:tblStylePr>
    <w:tblStylePr w:type="band1Vert">
      <w:tblPr/>
      <w:tcPr>
        <w:shd w:val="clear" w:color="FFFFFF" w:fill="FFFFFF"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fill="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fill="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875">
    <w:name w:val="List Table 7 Colorful - Accent 3"/>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FFFFFF" w:themeFill="accent3" w:themeFillTint="40"/>
      </w:tcPr>
    </w:tblStylePr>
    <w:tblStylePr w:type="band1Vert">
      <w:tblPr/>
      <w:tcPr>
        <w:shd w:val="clear" w:color="FFFFFF" w:fill="FFFFFF"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fill="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fill="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876">
    <w:name w:val="List Table 7 Colorful - Accent 4"/>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FFFFFF" w:themeFill="accent4" w:themeFillTint="40"/>
      </w:tcPr>
    </w:tblStylePr>
    <w:tblStylePr w:type="band1Vert">
      <w:tblPr/>
      <w:tcPr>
        <w:shd w:val="clear" w:color="FFFFFF" w:fill="FFFFFF"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fill="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fill="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877">
    <w:name w:val="List Table 7 Colorful - Accent 5"/>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FFFFFF" w:themeFill="accent5" w:themeFillTint="40"/>
      </w:tcPr>
    </w:tblStylePr>
    <w:tblStylePr w:type="band1Vert">
      <w:tblPr/>
      <w:tcPr>
        <w:shd w:val="clear" w:color="FFFFFF" w:fill="FFFFFF"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fill="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fill="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878">
    <w:name w:val="List Table 7 Colorful - Accent 6"/>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FFFFF" w:themeFill="accent6" w:themeFillTint="40"/>
      </w:tcPr>
    </w:tblStylePr>
    <w:tblStylePr w:type="band1Vert">
      <w:tblPr/>
      <w:tcPr>
        <w:shd w:val="clear" w:color="FFFFFF" w:fill="FFFFFF"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fill="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fill="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879">
    <w:name w:val="Lined - Accent"/>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text1" w:themeFillTint="0"/>
      </w:tcPr>
    </w:tblStylePr>
    <w:tblStylePr w:type="band2Vert">
      <w:rPr>
        <w:color w:val="404040"/>
        <w:sz w:val="22"/>
      </w:rPr>
      <w:tblPr/>
      <w:tcPr>
        <w:shd w:val="clear" w:color="FFFFFF" w:fill="FFFFFF" w:themeFill="text1" w:themeFillTint="0"/>
      </w:tcPr>
    </w:tblStylePr>
    <w:tblStylePr w:type="firstCol">
      <w:rPr>
        <w:color w:val="F2F2F2"/>
        <w:sz w:val="22"/>
      </w:rPr>
      <w:tblPr/>
      <w:tcPr>
        <w:shd w:val="clear" w:color="FFFFFF" w:fill="FFFFFF" w:themeFill="text1" w:themeFillTint="80"/>
      </w:tcPr>
    </w:tblStylePr>
    <w:tblStylePr w:type="firstRow">
      <w:rPr>
        <w:color w:val="F2F2F2"/>
        <w:sz w:val="22"/>
      </w:rPr>
      <w:tblPr/>
      <w:tcPr>
        <w:shd w:val="clear" w:color="FFFFFF" w:fill="FFFFFF" w:themeFill="text1" w:themeFillTint="80"/>
      </w:tcPr>
    </w:tblStylePr>
    <w:tblStylePr w:type="lastCol">
      <w:rPr>
        <w:color w:val="F2F2F2"/>
        <w:sz w:val="22"/>
      </w:rPr>
      <w:tblPr/>
      <w:tcPr>
        <w:shd w:val="clear" w:color="FFFFFF" w:fill="FFFFFF" w:themeFill="text1" w:themeFillTint="80"/>
      </w:tcPr>
    </w:tblStylePr>
    <w:tblStylePr w:type="lastRow">
      <w:rPr>
        <w:color w:val="F2F2F2"/>
        <w:sz w:val="22"/>
      </w:rPr>
      <w:tblPr/>
      <w:tcPr>
        <w:shd w:val="clear" w:color="FFFFFF" w:fill="FFFFFF" w:themeFill="text1" w:themeFillTint="80"/>
      </w:tcPr>
    </w:tblStylePr>
  </w:style>
  <w:style w:type="table" w:styleId="880">
    <w:name w:val="Lined - Accent 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1" w:themeFillTint="50"/>
      </w:tcPr>
    </w:tblStylePr>
    <w:tblStylePr w:type="band2Vert">
      <w:rPr>
        <w:color w:val="404040"/>
        <w:sz w:val="22"/>
      </w:rPr>
      <w:tblPr/>
      <w:tcPr>
        <w:shd w:val="clear" w:color="FFFFFF" w:fill="FFFFFF" w:themeFill="accent1" w:themeFillTint="50"/>
      </w:tcPr>
    </w:tblStylePr>
    <w:tblStylePr w:type="firstCol">
      <w:rPr>
        <w:color w:val="F2F2F2"/>
        <w:sz w:val="22"/>
      </w:rPr>
      <w:tblPr/>
      <w:tcPr>
        <w:shd w:val="clear" w:color="FFFFFF" w:fill="FFFFFF" w:themeFill="accent1" w:themeFillTint="ea"/>
      </w:tcPr>
    </w:tblStylePr>
    <w:tblStylePr w:type="firstRow">
      <w:rPr>
        <w:color w:val="F2F2F2"/>
        <w:sz w:val="22"/>
      </w:rPr>
      <w:tblPr/>
      <w:tcPr>
        <w:shd w:val="clear" w:color="FFFFFF" w:fill="FFFFFF" w:themeFill="accent1" w:themeFillTint="ea"/>
      </w:tcPr>
    </w:tblStylePr>
    <w:tblStylePr w:type="lastCol">
      <w:rPr>
        <w:color w:val="F2F2F2"/>
        <w:sz w:val="22"/>
      </w:rPr>
      <w:tblPr/>
      <w:tcPr>
        <w:shd w:val="clear" w:color="FFFFFF" w:fill="FFFFFF" w:themeFill="accent1" w:themeFillTint="ea"/>
      </w:tcPr>
    </w:tblStylePr>
    <w:tblStylePr w:type="lastRow">
      <w:rPr>
        <w:color w:val="F2F2F2"/>
        <w:sz w:val="22"/>
      </w:rPr>
      <w:tblPr/>
      <w:tcPr>
        <w:shd w:val="clear" w:color="FFFFFF" w:fill="FFFFFF" w:themeFill="accent1" w:themeFillTint="ea"/>
      </w:tcPr>
    </w:tblStylePr>
  </w:style>
  <w:style w:type="table" w:styleId="881">
    <w:name w:val="Lined - Accent 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2" w:themeFillTint="32"/>
      </w:tcPr>
    </w:tblStylePr>
    <w:tblStylePr w:type="band2Vert">
      <w:rPr>
        <w:color w:val="404040"/>
        <w:sz w:val="22"/>
      </w:rPr>
      <w:tblPr/>
      <w:tcPr>
        <w:shd w:val="clear" w:color="FFFFFF" w:fill="FFFFFF" w:themeFill="accent2" w:themeFillTint="32"/>
      </w:tcPr>
    </w:tblStylePr>
    <w:tblStylePr w:type="firstCol">
      <w:rPr>
        <w:color w:val="F2F2F2"/>
        <w:sz w:val="22"/>
      </w:rPr>
      <w:tblPr/>
      <w:tcPr>
        <w:shd w:val="clear" w:color="FFFFFF" w:fill="FFFFFF" w:themeFill="accent2" w:themeFillTint="97"/>
      </w:tcPr>
    </w:tblStylePr>
    <w:tblStylePr w:type="firstRow">
      <w:rPr>
        <w:color w:val="F2F2F2"/>
        <w:sz w:val="22"/>
      </w:rPr>
      <w:tblPr/>
      <w:tcPr>
        <w:shd w:val="clear" w:color="FFFFFF" w:fill="FFFFFF" w:themeFill="accent2" w:themeFillTint="97"/>
      </w:tcPr>
    </w:tblStylePr>
    <w:tblStylePr w:type="lastCol">
      <w:rPr>
        <w:color w:val="F2F2F2"/>
        <w:sz w:val="22"/>
      </w:rPr>
      <w:tblPr/>
      <w:tcPr>
        <w:shd w:val="clear" w:color="FFFFFF" w:fill="FFFFFF" w:themeFill="accent2" w:themeFillTint="97"/>
      </w:tcPr>
    </w:tblStylePr>
    <w:tblStylePr w:type="lastRow">
      <w:rPr>
        <w:color w:val="F2F2F2"/>
        <w:sz w:val="22"/>
      </w:rPr>
      <w:tblPr/>
      <w:tcPr>
        <w:shd w:val="clear" w:color="FFFFFF" w:fill="FFFFFF" w:themeFill="accent2" w:themeFillTint="97"/>
      </w:tcPr>
    </w:tblStylePr>
  </w:style>
  <w:style w:type="table" w:styleId="882">
    <w:name w:val="Lined - Accent 3"/>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3" w:themeFillTint="34"/>
      </w:tcPr>
    </w:tblStylePr>
    <w:tblStylePr w:type="band2Vert">
      <w:rPr>
        <w:color w:val="404040"/>
        <w:sz w:val="22"/>
      </w:rPr>
      <w:tblPr/>
      <w:tcPr>
        <w:shd w:val="clear" w:color="FFFFFF" w:fill="FFFFFF" w:themeFill="accent3" w:themeFillTint="34"/>
      </w:tcPr>
    </w:tblStylePr>
    <w:tblStylePr w:type="firstCol">
      <w:rPr>
        <w:color w:val="F2F2F2"/>
        <w:sz w:val="22"/>
      </w:rPr>
      <w:tblPr/>
      <w:tcPr>
        <w:shd w:val="clear" w:color="FFFFFF" w:fill="FFFFFF" w:themeFill="accent3" w:themeFillTint="fe"/>
      </w:tcPr>
    </w:tblStylePr>
    <w:tblStylePr w:type="firstRow">
      <w:rPr>
        <w:color w:val="F2F2F2"/>
        <w:sz w:val="22"/>
      </w:rPr>
      <w:tblPr/>
      <w:tcPr>
        <w:shd w:val="clear" w:color="FFFFFF" w:fill="FFFFFF" w:themeFill="accent3" w:themeFillTint="fe"/>
      </w:tcPr>
    </w:tblStylePr>
    <w:tblStylePr w:type="lastCol">
      <w:rPr>
        <w:color w:val="F2F2F2"/>
        <w:sz w:val="22"/>
      </w:rPr>
      <w:tblPr/>
      <w:tcPr>
        <w:shd w:val="clear" w:color="FFFFFF" w:fill="FFFFFF" w:themeFill="accent3" w:themeFillTint="fe"/>
      </w:tcPr>
    </w:tblStylePr>
    <w:tblStylePr w:type="lastRow">
      <w:rPr>
        <w:color w:val="F2F2F2"/>
        <w:sz w:val="22"/>
      </w:rPr>
      <w:tblPr/>
      <w:tcPr>
        <w:shd w:val="clear" w:color="FFFFFF" w:fill="FFFFFF" w:themeFill="accent3" w:themeFillTint="fe"/>
      </w:tcPr>
    </w:tblStylePr>
  </w:style>
  <w:style w:type="table" w:styleId="883">
    <w:name w:val="Lined - Accent 4"/>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4" w:themeFillTint="34"/>
      </w:tcPr>
    </w:tblStylePr>
    <w:tblStylePr w:type="band2Vert">
      <w:rPr>
        <w:color w:val="404040"/>
        <w:sz w:val="22"/>
      </w:rPr>
      <w:tblPr/>
      <w:tcPr>
        <w:shd w:val="clear" w:color="FFFFFF" w:fill="FFFFFF" w:themeFill="accent4" w:themeFillTint="34"/>
      </w:tcPr>
    </w:tblStylePr>
    <w:tblStylePr w:type="firstCol">
      <w:rPr>
        <w:color w:val="F2F2F2"/>
        <w:sz w:val="22"/>
      </w:rPr>
      <w:tblPr/>
      <w:tcPr>
        <w:shd w:val="clear" w:color="FFFFFF" w:fill="FFFFFF" w:themeFill="accent4" w:themeFillTint="9a"/>
      </w:tcPr>
    </w:tblStylePr>
    <w:tblStylePr w:type="firstRow">
      <w:rPr>
        <w:color w:val="F2F2F2"/>
        <w:sz w:val="22"/>
      </w:rPr>
      <w:tblPr/>
      <w:tcPr>
        <w:shd w:val="clear" w:color="FFFFFF" w:fill="FFFFFF" w:themeFill="accent4" w:themeFillTint="9a"/>
      </w:tcPr>
    </w:tblStylePr>
    <w:tblStylePr w:type="lastCol">
      <w:rPr>
        <w:color w:val="F2F2F2"/>
        <w:sz w:val="22"/>
      </w:rPr>
      <w:tblPr/>
      <w:tcPr>
        <w:shd w:val="clear" w:color="FFFFFF" w:fill="FFFFFF" w:themeFill="accent4" w:themeFillTint="9a"/>
      </w:tcPr>
    </w:tblStylePr>
    <w:tblStylePr w:type="lastRow">
      <w:rPr>
        <w:color w:val="F2F2F2"/>
        <w:sz w:val="22"/>
      </w:rPr>
      <w:tblPr/>
      <w:tcPr>
        <w:shd w:val="clear" w:color="FFFFFF" w:fill="FFFFFF" w:themeFill="accent4" w:themeFillTint="9a"/>
      </w:tcPr>
    </w:tblStylePr>
  </w:style>
  <w:style w:type="table" w:styleId="884">
    <w:name w:val="Lined - Accent 5"/>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5" w:themeFillTint="34"/>
      </w:tcPr>
    </w:tblStylePr>
    <w:tblStylePr w:type="band2Vert">
      <w:rPr>
        <w:color w:val="404040"/>
        <w:sz w:val="22"/>
      </w:rPr>
      <w:tblPr/>
      <w:tcPr>
        <w:shd w:val="clear" w:color="FFFFFF" w:fill="FFFFFF" w:themeFill="accent5" w:themeFillTint="34"/>
      </w:tcPr>
    </w:tblStylePr>
    <w:tblStylePr w:type="firstCol">
      <w:rPr>
        <w:color w:val="F2F2F2"/>
        <w:sz w:val="22"/>
      </w:rPr>
      <w:tblPr/>
      <w:tcPr>
        <w:shd w:val="clear" w:color="FFFFFF" w:fill="FFFFFF" w:themeFill="accent5"/>
      </w:tcPr>
    </w:tblStylePr>
    <w:tblStylePr w:type="firstRow">
      <w:rPr>
        <w:color w:val="F2F2F2"/>
        <w:sz w:val="22"/>
      </w:rPr>
      <w:tblPr/>
      <w:tcPr>
        <w:shd w:val="clear" w:color="FFFFFF" w:fill="FFFFFF" w:themeFill="accent5"/>
      </w:tcPr>
    </w:tblStylePr>
    <w:tblStylePr w:type="lastCol">
      <w:rPr>
        <w:color w:val="F2F2F2"/>
        <w:sz w:val="22"/>
      </w:rPr>
      <w:tblPr/>
      <w:tcPr>
        <w:shd w:val="clear" w:color="FFFFFF" w:fill="FFFFFF" w:themeFill="accent5"/>
      </w:tcPr>
    </w:tblStylePr>
    <w:tblStylePr w:type="lastRow">
      <w:rPr>
        <w:color w:val="F2F2F2"/>
        <w:sz w:val="22"/>
      </w:rPr>
      <w:tblPr/>
      <w:tcPr>
        <w:shd w:val="clear" w:color="FFFFFF" w:fill="FFFFFF" w:themeFill="accent5"/>
      </w:tcPr>
    </w:tblStylePr>
  </w:style>
  <w:style w:type="table" w:styleId="885">
    <w:name w:val="Lined - Accent 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6" w:themeFillTint="34"/>
      </w:tcPr>
    </w:tblStylePr>
    <w:tblStylePr w:type="band2Vert">
      <w:rPr>
        <w:color w:val="404040"/>
        <w:sz w:val="22"/>
      </w:rPr>
      <w:tblPr/>
      <w:tcPr>
        <w:shd w:val="clear" w:color="FFFFFF" w:fill="FFFFFF" w:themeFill="accent6" w:themeFillTint="34"/>
      </w:tcPr>
    </w:tblStylePr>
    <w:tblStylePr w:type="firstCol">
      <w:rPr>
        <w:color w:val="F2F2F2"/>
        <w:sz w:val="22"/>
      </w:rPr>
      <w:tblPr/>
      <w:tcPr>
        <w:shd w:val="clear" w:color="FFFFFF" w:fill="FFFFFF" w:themeFill="accent6"/>
      </w:tcPr>
    </w:tblStylePr>
    <w:tblStylePr w:type="firstRow">
      <w:rPr>
        <w:color w:val="F2F2F2"/>
        <w:sz w:val="22"/>
      </w:rPr>
      <w:tblPr/>
      <w:tcPr>
        <w:shd w:val="clear" w:color="FFFFFF" w:fill="FFFFFF" w:themeFill="accent6"/>
      </w:tcPr>
    </w:tblStylePr>
    <w:tblStylePr w:type="lastCol">
      <w:rPr>
        <w:color w:val="F2F2F2"/>
        <w:sz w:val="22"/>
      </w:rPr>
      <w:tblPr/>
      <w:tcPr>
        <w:shd w:val="clear" w:color="FFFFFF" w:fill="FFFFFF" w:themeFill="accent6"/>
      </w:tcPr>
    </w:tblStylePr>
    <w:tblStylePr w:type="lastRow">
      <w:rPr>
        <w:color w:val="F2F2F2"/>
        <w:sz w:val="22"/>
      </w:rPr>
      <w:tblPr/>
      <w:tcPr>
        <w:shd w:val="clear" w:color="FFFFFF" w:fill="FFFFFF" w:themeFill="accent6"/>
      </w:tcPr>
    </w:tblStylePr>
  </w:style>
  <w:style w:type="table" w:styleId="886">
    <w:name w:val="Bordered &amp; Lined - Accent"/>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text1" w:themeFillTint="0"/>
      </w:tcPr>
    </w:tblStylePr>
    <w:tblStylePr w:type="band2Vert">
      <w:rPr>
        <w:color w:val="404040"/>
        <w:sz w:val="22"/>
      </w:rPr>
      <w:tblPr/>
      <w:tcPr>
        <w:shd w:val="clear" w:color="FFFFFF" w:fill="FFFFFF" w:themeFill="text1" w:themeFillTint="0"/>
      </w:tcPr>
    </w:tblStylePr>
    <w:tblStylePr w:type="firstCol">
      <w:rPr>
        <w:color w:val="F2F2F2"/>
        <w:sz w:val="22"/>
      </w:rPr>
      <w:tblPr/>
      <w:tcPr>
        <w:shd w:val="clear" w:color="FFFFFF" w:fill="FFFFFF" w:themeFill="text1" w:themeFillTint="80"/>
      </w:tcPr>
    </w:tblStylePr>
    <w:tblStylePr w:type="firstRow">
      <w:rPr>
        <w:color w:val="F2F2F2"/>
        <w:sz w:val="22"/>
      </w:rPr>
      <w:tblPr/>
      <w:tcPr>
        <w:shd w:val="clear" w:color="FFFFFF" w:fill="FFFFFF" w:themeFill="text1" w:themeFillTint="80"/>
      </w:tcPr>
    </w:tblStylePr>
    <w:tblStylePr w:type="lastCol">
      <w:rPr>
        <w:color w:val="F2F2F2"/>
        <w:sz w:val="22"/>
      </w:rPr>
      <w:tblPr/>
      <w:tcPr>
        <w:shd w:val="clear" w:color="FFFFFF" w:fill="FFFFFF" w:themeFill="text1" w:themeFillTint="80"/>
      </w:tcPr>
    </w:tblStylePr>
    <w:tblStylePr w:type="lastRow">
      <w:rPr>
        <w:color w:val="F2F2F2"/>
        <w:sz w:val="22"/>
      </w:rPr>
      <w:tblPr/>
      <w:tcPr>
        <w:shd w:val="clear" w:color="FFFFFF" w:fill="FFFFFF" w:themeFill="text1" w:themeFillTint="80"/>
      </w:tcPr>
    </w:tblStylePr>
  </w:style>
  <w:style w:type="table" w:styleId="887">
    <w:name w:val="Bordered &amp; Lined - Accent 1"/>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1" w:themeFillTint="50"/>
      </w:tcPr>
    </w:tblStylePr>
    <w:tblStylePr w:type="band2Vert">
      <w:rPr>
        <w:color w:val="404040"/>
        <w:sz w:val="22"/>
      </w:rPr>
      <w:tblPr/>
      <w:tcPr>
        <w:shd w:val="clear" w:color="FFFFFF" w:fill="FFFFFF" w:themeFill="accent1" w:themeFillTint="50"/>
      </w:tcPr>
    </w:tblStylePr>
    <w:tblStylePr w:type="firstCol">
      <w:rPr>
        <w:color w:val="F2F2F2"/>
        <w:sz w:val="22"/>
      </w:rPr>
      <w:tblPr/>
      <w:tcPr>
        <w:shd w:val="clear" w:color="FFFFFF" w:fill="FFFFFF" w:themeFill="accent1" w:themeFillTint="ea"/>
      </w:tcPr>
    </w:tblStylePr>
    <w:tblStylePr w:type="firstRow">
      <w:rPr>
        <w:color w:val="F2F2F2"/>
        <w:sz w:val="22"/>
      </w:rPr>
      <w:tblPr/>
      <w:tcPr>
        <w:shd w:val="clear" w:color="FFFFFF" w:fill="FFFFFF" w:themeFill="accent1" w:themeFillTint="ea"/>
      </w:tcPr>
    </w:tblStylePr>
    <w:tblStylePr w:type="lastCol">
      <w:rPr>
        <w:color w:val="F2F2F2"/>
        <w:sz w:val="22"/>
      </w:rPr>
      <w:tblPr/>
      <w:tcPr>
        <w:shd w:val="clear" w:color="FFFFFF" w:fill="FFFFFF" w:themeFill="accent1" w:themeFillTint="ea"/>
      </w:tcPr>
    </w:tblStylePr>
    <w:tblStylePr w:type="lastRow">
      <w:rPr>
        <w:color w:val="F2F2F2"/>
        <w:sz w:val="22"/>
      </w:rPr>
      <w:tblPr/>
      <w:tcPr>
        <w:shd w:val="clear" w:color="FFFFFF" w:fill="FFFFFF" w:themeFill="accent1" w:themeFillTint="ea"/>
      </w:tcPr>
    </w:tblStylePr>
  </w:style>
  <w:style w:type="table" w:styleId="888">
    <w:name w:val="Bordered &amp; Lined - Accent 2"/>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2" w:themeFillTint="32"/>
      </w:tcPr>
    </w:tblStylePr>
    <w:tblStylePr w:type="band2Vert">
      <w:rPr>
        <w:color w:val="404040"/>
        <w:sz w:val="22"/>
      </w:rPr>
      <w:tblPr/>
      <w:tcPr>
        <w:shd w:val="clear" w:color="FFFFFF" w:fill="FFFFFF" w:themeFill="accent2" w:themeFillTint="32"/>
      </w:tcPr>
    </w:tblStylePr>
    <w:tblStylePr w:type="firstCol">
      <w:rPr>
        <w:color w:val="F2F2F2"/>
        <w:sz w:val="22"/>
      </w:rPr>
      <w:tblPr/>
      <w:tcPr>
        <w:shd w:val="clear" w:color="FFFFFF" w:fill="FFFFFF" w:themeFill="accent2" w:themeFillTint="97"/>
      </w:tcPr>
    </w:tblStylePr>
    <w:tblStylePr w:type="firstRow">
      <w:rPr>
        <w:color w:val="F2F2F2"/>
        <w:sz w:val="22"/>
      </w:rPr>
      <w:tblPr/>
      <w:tcPr>
        <w:shd w:val="clear" w:color="FFFFFF" w:fill="FFFFFF" w:themeFill="accent2" w:themeFillTint="97"/>
      </w:tcPr>
    </w:tblStylePr>
    <w:tblStylePr w:type="lastCol">
      <w:rPr>
        <w:color w:val="F2F2F2"/>
        <w:sz w:val="22"/>
      </w:rPr>
      <w:tblPr/>
      <w:tcPr>
        <w:shd w:val="clear" w:color="FFFFFF" w:fill="FFFFFF" w:themeFill="accent2" w:themeFillTint="97"/>
      </w:tcPr>
    </w:tblStylePr>
    <w:tblStylePr w:type="lastRow">
      <w:rPr>
        <w:color w:val="F2F2F2"/>
        <w:sz w:val="22"/>
      </w:rPr>
      <w:tblPr/>
      <w:tcPr>
        <w:shd w:val="clear" w:color="FFFFFF" w:fill="FFFFFF" w:themeFill="accent2" w:themeFillTint="97"/>
      </w:tcPr>
    </w:tblStylePr>
  </w:style>
  <w:style w:type="table" w:styleId="889">
    <w:name w:val="Bordered &amp; Lined - Accent 3"/>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3" w:themeFillTint="34"/>
      </w:tcPr>
    </w:tblStylePr>
    <w:tblStylePr w:type="band2Vert">
      <w:rPr>
        <w:color w:val="404040"/>
        <w:sz w:val="22"/>
      </w:rPr>
      <w:tblPr/>
      <w:tcPr>
        <w:shd w:val="clear" w:color="FFFFFF" w:fill="FFFFFF" w:themeFill="accent3" w:themeFillTint="34"/>
      </w:tcPr>
    </w:tblStylePr>
    <w:tblStylePr w:type="firstCol">
      <w:rPr>
        <w:color w:val="F2F2F2"/>
        <w:sz w:val="22"/>
      </w:rPr>
      <w:tblPr/>
      <w:tcPr>
        <w:shd w:val="clear" w:color="FFFFFF" w:fill="FFFFFF" w:themeFill="accent3" w:themeFillTint="fe"/>
      </w:tcPr>
    </w:tblStylePr>
    <w:tblStylePr w:type="firstRow">
      <w:rPr>
        <w:color w:val="F2F2F2"/>
        <w:sz w:val="22"/>
      </w:rPr>
      <w:tblPr/>
      <w:tcPr>
        <w:shd w:val="clear" w:color="FFFFFF" w:fill="FFFFFF" w:themeFill="accent3" w:themeFillTint="fe"/>
      </w:tcPr>
    </w:tblStylePr>
    <w:tblStylePr w:type="lastCol">
      <w:rPr>
        <w:color w:val="F2F2F2"/>
        <w:sz w:val="22"/>
      </w:rPr>
      <w:tblPr/>
      <w:tcPr>
        <w:shd w:val="clear" w:color="FFFFFF" w:fill="FFFFFF" w:themeFill="accent3" w:themeFillTint="fe"/>
      </w:tcPr>
    </w:tblStylePr>
    <w:tblStylePr w:type="lastRow">
      <w:rPr>
        <w:color w:val="F2F2F2"/>
        <w:sz w:val="22"/>
      </w:rPr>
      <w:tblPr/>
      <w:tcPr>
        <w:shd w:val="clear" w:color="FFFFFF" w:fill="FFFFFF" w:themeFill="accent3" w:themeFillTint="fe"/>
      </w:tcPr>
    </w:tblStylePr>
  </w:style>
  <w:style w:type="table" w:styleId="890">
    <w:name w:val="Bordered &amp; Lined - Accent 4"/>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4" w:themeFillTint="34"/>
      </w:tcPr>
    </w:tblStylePr>
    <w:tblStylePr w:type="band2Vert">
      <w:rPr>
        <w:color w:val="404040"/>
        <w:sz w:val="22"/>
      </w:rPr>
      <w:tblPr/>
      <w:tcPr>
        <w:shd w:val="clear" w:color="FFFFFF" w:fill="FFFFFF" w:themeFill="accent4" w:themeFillTint="34"/>
      </w:tcPr>
    </w:tblStylePr>
    <w:tblStylePr w:type="firstCol">
      <w:rPr>
        <w:color w:val="F2F2F2"/>
        <w:sz w:val="22"/>
      </w:rPr>
      <w:tblPr/>
      <w:tcPr>
        <w:shd w:val="clear" w:color="FFFFFF" w:fill="FFFFFF" w:themeFill="accent4" w:themeFillTint="9a"/>
      </w:tcPr>
    </w:tblStylePr>
    <w:tblStylePr w:type="firstRow">
      <w:rPr>
        <w:color w:val="F2F2F2"/>
        <w:sz w:val="22"/>
      </w:rPr>
      <w:tblPr/>
      <w:tcPr>
        <w:shd w:val="clear" w:color="FFFFFF" w:fill="FFFFFF" w:themeFill="accent4" w:themeFillTint="9a"/>
      </w:tcPr>
    </w:tblStylePr>
    <w:tblStylePr w:type="lastCol">
      <w:rPr>
        <w:color w:val="F2F2F2"/>
        <w:sz w:val="22"/>
      </w:rPr>
      <w:tblPr/>
      <w:tcPr>
        <w:shd w:val="clear" w:color="FFFFFF" w:fill="FFFFFF" w:themeFill="accent4" w:themeFillTint="9a"/>
      </w:tcPr>
    </w:tblStylePr>
    <w:tblStylePr w:type="lastRow">
      <w:rPr>
        <w:color w:val="F2F2F2"/>
        <w:sz w:val="22"/>
      </w:rPr>
      <w:tblPr/>
      <w:tcPr>
        <w:shd w:val="clear" w:color="FFFFFF" w:fill="FFFFFF" w:themeFill="accent4" w:themeFillTint="9a"/>
      </w:tcPr>
    </w:tblStylePr>
  </w:style>
  <w:style w:type="table" w:styleId="891">
    <w:name w:val="Bordered &amp; Lined - Accent 5"/>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5" w:themeFillTint="34"/>
      </w:tcPr>
    </w:tblStylePr>
    <w:tblStylePr w:type="band2Vert">
      <w:rPr>
        <w:color w:val="404040"/>
        <w:sz w:val="22"/>
      </w:rPr>
      <w:tblPr/>
      <w:tcPr>
        <w:shd w:val="clear" w:color="FFFFFF" w:fill="FFFFFF" w:themeFill="accent5" w:themeFillTint="34"/>
      </w:tcPr>
    </w:tblStylePr>
    <w:tblStylePr w:type="firstCol">
      <w:rPr>
        <w:color w:val="F2F2F2"/>
        <w:sz w:val="22"/>
      </w:rPr>
      <w:tblPr/>
      <w:tcPr>
        <w:shd w:val="clear" w:color="FFFFFF" w:fill="FFFFFF" w:themeFill="accent5"/>
      </w:tcPr>
    </w:tblStylePr>
    <w:tblStylePr w:type="firstRow">
      <w:rPr>
        <w:color w:val="F2F2F2"/>
        <w:sz w:val="22"/>
      </w:rPr>
      <w:tblPr/>
      <w:tcPr>
        <w:shd w:val="clear" w:color="FFFFFF" w:fill="FFFFFF" w:themeFill="accent5"/>
      </w:tcPr>
    </w:tblStylePr>
    <w:tblStylePr w:type="lastCol">
      <w:rPr>
        <w:color w:val="F2F2F2"/>
        <w:sz w:val="22"/>
      </w:rPr>
      <w:tblPr/>
      <w:tcPr>
        <w:shd w:val="clear" w:color="FFFFFF" w:fill="FFFFFF" w:themeFill="accent5"/>
      </w:tcPr>
    </w:tblStylePr>
    <w:tblStylePr w:type="lastRow">
      <w:rPr>
        <w:color w:val="F2F2F2"/>
        <w:sz w:val="22"/>
      </w:rPr>
      <w:tblPr/>
      <w:tcPr>
        <w:shd w:val="clear" w:color="FFFFFF" w:fill="FFFFFF" w:themeFill="accent5"/>
      </w:tcPr>
    </w:tblStylePr>
  </w:style>
  <w:style w:type="table" w:styleId="892">
    <w:name w:val="Bordered &amp; Lined - Accent 6"/>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FFFFF" w:themeFill="accent6" w:themeFillTint="34"/>
      </w:tcPr>
    </w:tblStylePr>
    <w:tblStylePr w:type="band2Vert">
      <w:rPr>
        <w:color w:val="404040"/>
        <w:sz w:val="22"/>
      </w:rPr>
      <w:tblPr/>
      <w:tcPr>
        <w:shd w:val="clear" w:color="FFFFFF" w:fill="FFFFFF" w:themeFill="accent6" w:themeFillTint="34"/>
      </w:tcPr>
    </w:tblStylePr>
    <w:tblStylePr w:type="firstCol">
      <w:rPr>
        <w:color w:val="F2F2F2"/>
        <w:sz w:val="22"/>
      </w:rPr>
      <w:tblPr/>
      <w:tcPr>
        <w:shd w:val="clear" w:color="FFFFFF" w:fill="FFFFFF" w:themeFill="accent6"/>
      </w:tcPr>
    </w:tblStylePr>
    <w:tblStylePr w:type="firstRow">
      <w:rPr>
        <w:color w:val="F2F2F2"/>
        <w:sz w:val="22"/>
      </w:rPr>
      <w:tblPr/>
      <w:tcPr>
        <w:shd w:val="clear" w:color="FFFFFF" w:fill="FFFFFF" w:themeFill="accent6"/>
      </w:tcPr>
    </w:tblStylePr>
    <w:tblStylePr w:type="lastCol">
      <w:rPr>
        <w:color w:val="F2F2F2"/>
        <w:sz w:val="22"/>
      </w:rPr>
      <w:tblPr/>
      <w:tcPr>
        <w:shd w:val="clear" w:color="FFFFFF" w:fill="FFFFFF" w:themeFill="accent6"/>
      </w:tcPr>
    </w:tblStylePr>
    <w:tblStylePr w:type="lastRow">
      <w:rPr>
        <w:color w:val="F2F2F2"/>
        <w:sz w:val="22"/>
      </w:rPr>
      <w:tblPr/>
      <w:tcPr>
        <w:shd w:val="clear" w:color="FFFFFF" w:fill="FFFFFF" w:themeFill="accent6"/>
      </w:tcPr>
    </w:tblStylePr>
  </w:style>
  <w:style w:type="table" w:styleId="893">
    <w:name w:val="Bordered"/>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894">
    <w:name w:val="Bordered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895">
    <w:name w:val="Bordered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896">
    <w:name w:val="Bordered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897">
    <w:name w:val="Bordered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898">
    <w:name w:val="Bordered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899">
    <w:name w:val="Bordered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900">
    <w:name w:val="Normal Table"/>
    <w:uiPriority w:val="99"/>
    <w:semiHidden/>
    <w:unhideWhenUsed/>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dm@alexadm63.ru" TargetMode="External"/><Relationship Id="rId3" Type="http://schemas.openxmlformats.org/officeDocument/2006/relationships/hyperlink" Target="kodeks://link/d?nd=573292854" TargetMode="External"/><Relationship Id="rId4" Type="http://schemas.openxmlformats.org/officeDocument/2006/relationships/hyperlink" Target="consultantplus://offline/ref=35D5E16C2385AA33BDDCCC68C7DD9627026F8608BB3CF70433A171wFV0L" TargetMode="External"/><Relationship Id="rId5" Type="http://schemas.openxmlformats.org/officeDocument/2006/relationships/hyperlink" Target="consultantplus://offline/ref=35D5E16C2385AA33BDDCCC68C7DD962702678905B26CA00662F47FF5E6w2V8L" TargetMode="External"/><Relationship Id="rId6" Type="http://schemas.openxmlformats.org/officeDocument/2006/relationships/hyperlink" Target="consultantplus://offline/ref=35D5E16C2385AA33BDDCCC68C7DD96270267810FB169A00662F47FF5E6w2V8L" TargetMode="External"/><Relationship Id="rId7" Type="http://schemas.openxmlformats.org/officeDocument/2006/relationships/hyperlink" Target="consultantplus://offline/ref=35D5E16C2385AA33BDDCCC68C7DD96270267810DB763A00662F47FF5E6w2V8L" TargetMode="External"/><Relationship Id="rId8" Type="http://schemas.openxmlformats.org/officeDocument/2006/relationships/hyperlink" Target="consultantplus://offline/ref=35D5E16C2385AA33BDDCCC68C7DD962702678905B26CA00662F47FF5E6w2V8L" TargetMode="External"/><Relationship Id="rId9" Type="http://schemas.openxmlformats.org/officeDocument/2006/relationships/hyperlink" Target="consultantplus://offline/ref=35D5E16C2385AA33BDDCCC68C7DD96270267800CB56BA00662F47FF5E6w2V8L" TargetMode="External"/><Relationship Id="rId10" Type="http://schemas.openxmlformats.org/officeDocument/2006/relationships/hyperlink" Target="consultantplus://offline/ref=35D5E16C2385AA33BDDCCC68C7DD9627016F890EB562A00662F47FF5E62858D3E663B2D34BF922FDwCV6L" TargetMode="External"/><Relationship Id="rId11" Type="http://schemas.openxmlformats.org/officeDocument/2006/relationships/hyperlink" Target="consultantplus://offline/ref=35D5E16C2385AA33BDDCCC68C7DD962702678009B068A00662F47FF5E6w2V8L" TargetMode="External"/><Relationship Id="rId12" Type="http://schemas.openxmlformats.org/officeDocument/2006/relationships/hyperlink" Target="consultantplus://offline/ref=35D5E16C2385AA33BDDCCC68C7DD962702678009B068A00662F47FF5E6w2V8L" TargetMode="External"/><Relationship Id="rId13" Type="http://schemas.openxmlformats.org/officeDocument/2006/relationships/hyperlink" Target="consultantplus://offline/ref=35D5E16C2385AA33BDDCD265D1B1CA2F066CDF00B86BA35137AB24A8B1215284A12CEB910FF423FAC65C8Cw8VFL" TargetMode="External"/><Relationship Id="rId14" Type="http://schemas.openxmlformats.org/officeDocument/2006/relationships/hyperlink" Target="consultantplus://offline/ref=B67DE09DB20FBA2A862EDF179AF93EAAA7583FEBB8AECC6EF279D8DB6F7EEC635A33D922D459E0374C53AD3ACCE51E0DA5971E1F8Eg9q0G"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TotalTime>7</TotalTime>
  <Application>LibreOffice/7.3.6.2$Linux_X86_64 LibreOffice_project/30$Build-2</Application>
  <AppVersion>15.0000</AppVersion>
  <DocSecurity>0</DocSecurity>
  <Pages>10</Pages>
  <Words>2524</Words>
  <Characters>19680</Characters>
  <CharactersWithSpaces>22159</CharactersWithSpaces>
  <Paragraphs>187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2023-10-17T09:02:01Z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