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1"/>
        <w:ind w:left="0" w:right="0" w:firstLine="500"/>
        <w:jc w:val="both"/>
        <w:spacing w:before="0" w:after="150"/>
        <w:shd w:val="clear" w:color="ffffff" w:fill="ffffff"/>
      </w:pPr>
      <w:r>
        <w:rPr>
          <w:rFonts w:eastAsia="Times New Roman" w:cs="Times New Roman"/>
          <w:color w:val="000000" w:themeColor="text1"/>
          <w:sz w:val="28"/>
        </w:rPr>
        <w:t xml:space="preserve">В соответствии с п.п. 10, 11 Постановления Правительства Российской Федерации от 25.06.2021г. №990 «Об утверждении правил разработки и утверждения контрольными (надзорными) органами Программы проф</w:t>
      </w:r>
      <w:r>
        <w:rPr>
          <w:rFonts w:eastAsia="Times New Roman" w:cs="Times New Roman"/>
          <w:color w:val="000000" w:themeColor="text1"/>
          <w:sz w:val="28"/>
        </w:rPr>
        <w:t xml:space="preserve">илактики рисков причинения вреда (ущерба) охраняемым законом ценностям» на сайте Администрации муниципального района Алексеевский Самарской области разделе Контрольно-надзорная деятельность в целях общественного обсуждения размещен проект Программы профила</w:t>
      </w:r>
      <w:r>
        <w:rPr>
          <w:rFonts w:eastAsia="Times New Roman" w:cs="Times New Roman"/>
          <w:color w:val="000000" w:themeColor="text1"/>
          <w:sz w:val="28"/>
        </w:rPr>
        <w:t xml:space="preserve">ктики рисков причинения вреда (ущерба) охраняемым законом ценностям при проведении мероприятий по осуществлению регионального государственного экологического контроля (надзора) на территории муниципального района Алексеевский Самарской области на 2025 год.</w:t>
      </w:r>
      <w:r/>
    </w:p>
    <w:p>
      <w:pPr>
        <w:pStyle w:val="711"/>
        <w:ind w:left="0" w:right="0" w:firstLine="500"/>
        <w:jc w:val="both"/>
        <w:spacing w:before="0" w:after="150"/>
        <w:shd w:val="clear" w:color="ffffff" w:fill="ffffff"/>
        <w:rPr>
          <w:color w:val="000000"/>
        </w:rPr>
      </w:pPr>
      <w:r>
        <w:rPr>
          <w:rFonts w:eastAsia="Times New Roman" w:cs="Times New Roman"/>
          <w:color w:val="000000" w:themeColor="text1"/>
          <w:sz w:val="28"/>
        </w:rPr>
        <w:t xml:space="preserve">Общественное обсуждение программы профилактики проводится с 01.10.2024 по 01.11.2024 г. </w:t>
      </w:r>
      <w:r>
        <w:rPr>
          <w:rFonts w:eastAsia="Times New Roman" w:cs="Times New Roman"/>
          <w:color w:val="000000" w:themeColor="text1"/>
          <w:sz w:val="28"/>
        </w:rPr>
        <w:t xml:space="preserve">Срок окончания общественного обсуждения Программы — </w:t>
      </w:r>
      <w:r>
        <w:rPr>
          <w:rFonts w:eastAsia="Times New Roman" w:cs="Times New Roman"/>
          <w:color w:val="000000" w:themeColor="text1"/>
          <w:sz w:val="28"/>
        </w:rPr>
        <w:t xml:space="preserve">01.11.2024 17 час.30 мин</w:t>
      </w:r>
      <w:r>
        <w:rPr>
          <w:rFonts w:eastAsia="Times New Roman" w:cs="Times New Roman"/>
          <w:color w:val="000000" w:themeColor="text1"/>
          <w:sz w:val="28"/>
        </w:rPr>
        <w:t xml:space="preserve">. Предложения принимаются на адрес электронной почты </w:t>
      </w:r>
      <w:hyperlink r:id="rId13" w:tooltip="mailto:adm@alexadm63.ru" w:history="1">
        <w:r>
          <w:rPr>
            <w:rFonts w:eastAsia="Times New Roman" w:cs="Times New Roman"/>
            <w:color w:val="000000" w:themeColor="text1"/>
            <w:sz w:val="28"/>
          </w:rPr>
          <w:t xml:space="preserve">adm@alexadm63.ru</w:t>
        </w:r>
      </w:hyperlink>
      <w:r>
        <w:rPr>
          <w:rFonts w:eastAsia="Times New Roman" w:cs="Times New Roman"/>
          <w:color w:val="000000" w:themeColor="text1"/>
          <w:sz w:val="28"/>
        </w:rPr>
        <w:t xml:space="preserve">, </w:t>
      </w:r>
      <w:r>
        <w:rPr>
          <w:rFonts w:eastAsia="Times New Roman" w:cs="Times New Roman"/>
          <w:color w:val="000000" w:themeColor="text1"/>
          <w:sz w:val="28"/>
        </w:rPr>
        <w:t xml:space="preserve">а также на юридический адрес 446640 Самарская область, Алексеевский район, с. Алексеевка ул. Советская, 7, либо личное обращение по вышеуказанному адресу, каб. № 6</w:t>
      </w:r>
      <w:r>
        <w:rPr>
          <w:color w:val="000000"/>
        </w:rPr>
      </w:r>
      <w:r>
        <w:rPr>
          <w:color w:val="000000"/>
        </w:rPr>
      </w:r>
    </w:p>
    <w:p>
      <w:pPr>
        <w:pStyle w:val="711"/>
        <w:jc w:val="right"/>
        <w:widowControl w:val="off"/>
        <w:rPr>
          <w:rFonts w:ascii="Arial" w:hAnsi="Arial"/>
          <w:highlight w:val="none"/>
        </w:rPr>
      </w:pPr>
      <w:r>
        <w:rPr>
          <w:rFonts w:ascii="Arial" w:hAnsi="Arial"/>
        </w:rPr>
      </w: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</w:p>
    <w:p>
      <w:pPr>
        <w:pStyle w:val="711"/>
        <w:jc w:val="right"/>
        <w:widowControl w:val="off"/>
        <w:rPr>
          <w:rFonts w:ascii="Arial" w:hAnsi="Arial"/>
          <w:highlight w:val="none"/>
        </w:rPr>
      </w:pPr>
      <w:r>
        <w:rPr>
          <w:rFonts w:ascii="Arial" w:hAnsi="Arial"/>
        </w:rPr>
      </w: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</w:p>
    <w:p>
      <w:pPr>
        <w:pStyle w:val="711"/>
        <w:jc w:val="right"/>
        <w:widowControl w:val="off"/>
        <w:rPr>
          <w:rFonts w:ascii="Arial" w:hAnsi="Arial"/>
          <w:highlight w:val="none"/>
        </w:rPr>
      </w:pPr>
      <w:r>
        <w:rPr>
          <w:rFonts w:ascii="Arial" w:hAnsi="Arial"/>
        </w:rPr>
      </w: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</w:p>
    <w:p>
      <w:pPr>
        <w:pStyle w:val="711"/>
        <w:jc w:val="right"/>
        <w:widowControl w:val="off"/>
        <w:rPr>
          <w:rFonts w:ascii="Arial" w:hAnsi="Arial"/>
          <w:highlight w:val="none"/>
        </w:rPr>
      </w:pPr>
      <w:r>
        <w:rPr>
          <w:rFonts w:ascii="Arial" w:hAnsi="Arial"/>
        </w:rPr>
      </w: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</w:p>
    <w:p>
      <w:pPr>
        <w:pStyle w:val="711"/>
        <w:jc w:val="right"/>
        <w:widowControl w:val="off"/>
        <w:rPr>
          <w:rFonts w:ascii="Arial" w:hAnsi="Arial"/>
          <w:highlight w:val="none"/>
        </w:rPr>
      </w:pPr>
      <w:r>
        <w:rPr>
          <w:rFonts w:ascii="Arial" w:hAnsi="Arial"/>
        </w:rPr>
        <w:t xml:space="preserve">ПРОЕКТ</w:t>
      </w: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</w:p>
    <w:p>
      <w:pPr>
        <w:ind w:left="5184" w:firstLine="0"/>
        <w:jc w:val="right"/>
      </w:pPr>
      <w:r>
        <w:rPr>
          <w:sz w:val="28"/>
          <w:szCs w:val="28"/>
        </w:rPr>
        <w:t xml:space="preserve">Утверждена</w:t>
      </w:r>
      <w:r>
        <w:rPr>
          <w:sz w:val="28"/>
          <w:szCs w:val="28"/>
        </w:rPr>
        <w:t xml:space="preserve"> </w:t>
      </w:r>
      <w:r/>
    </w:p>
    <w:p>
      <w:pPr>
        <w:pStyle w:val="711"/>
        <w:ind w:left="5184" w:firstLine="0"/>
        <w:jc w:val="right"/>
      </w:pP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муниципального района Алексеевский  </w:t>
      </w:r>
      <w:r/>
    </w:p>
    <w:p>
      <w:pPr>
        <w:pStyle w:val="711"/>
      </w:pPr>
      <w:r>
        <w:rPr>
          <w:sz w:val="28"/>
          <w:szCs w:val="28"/>
        </w:rPr>
        <w:t xml:space="preserve">                                                                        №</w:t>
      </w:r>
      <w:r>
        <w:rPr>
          <w:sz w:val="28"/>
          <w:szCs w:val="28"/>
        </w:rPr>
        <w:t xml:space="preserve">______ от «____»__________2024 г. </w:t>
      </w:r>
      <w:r/>
    </w:p>
    <w:p>
      <w:pPr>
        <w:jc w:val="right"/>
        <w:widowControl w:val="off"/>
      </w:pPr>
      <w:r>
        <w:rPr>
          <w:rFonts w:ascii="Arial" w:hAnsi="Arial"/>
          <w:highlight w:val="none"/>
        </w:rPr>
      </w:r>
      <w:r/>
    </w:p>
    <w:p>
      <w:pPr>
        <w:pStyle w:val="711"/>
        <w:jc w:val="both"/>
        <w:widowControl w:val="off"/>
      </w:pPr>
      <w:r>
        <w:rPr>
          <w:rFonts w:ascii="Arial" w:hAnsi="Arial"/>
        </w:rPr>
      </w:r>
      <w:r/>
    </w:p>
    <w:p>
      <w:pPr>
        <w:pStyle w:val="711"/>
        <w:jc w:val="both"/>
        <w:widowControl w:val="off"/>
      </w:pPr>
      <w:r>
        <w:rPr>
          <w:rFonts w:ascii="Arial" w:hAnsi="Arial"/>
        </w:rPr>
      </w:r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  <w:t xml:space="preserve">Программа</w:t>
      </w:r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в рамках организации и осуществления регионального государственного экологического контроля (надзора) на территории муниципального района Алексеевский Самарской области  </w:t>
      </w:r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  <w:t xml:space="preserve">на 2025 год</w:t>
      </w:r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</w:r>
      <w:r/>
    </w:p>
    <w:p>
      <w:pPr>
        <w:pStyle w:val="711"/>
        <w:jc w:val="both"/>
        <w:shd w:val="clear" w:color="ffffff" w:fill="ffffff" w:themeFill="background1"/>
        <w:widowControl w:val="off"/>
      </w:pPr>
      <w:r>
        <w:rPr>
          <w:sz w:val="28"/>
          <w:szCs w:val="28"/>
        </w:rPr>
        <w:tab/>
        <w:t xml:space="preserve"> Настоящая Программа профилактики разработана в соответствии со ст. 44 Федерального закона от 31.0</w:t>
      </w:r>
      <w:r>
        <w:rPr>
          <w:sz w:val="28"/>
          <w:szCs w:val="28"/>
        </w:rPr>
        <w:t xml:space="preserve">7.2021  №248-ФЗ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</w:t>
      </w:r>
      <w:r>
        <w:rPr>
          <w:sz w:val="28"/>
          <w:szCs w:val="28"/>
        </w:rPr>
        <w:t xml:space="preserve"> программы профилактики рисков причинения вреда (ущерба) охраняемым законом ценностям», Законом Самарской области от 06.04.2010 №36 - ГД «О наделении органов местного самоуправления отдельными государственными полномочиями в сфере охраны окружающей среды».</w:t>
      </w:r>
      <w:r/>
    </w:p>
    <w:p>
      <w:pPr>
        <w:pStyle w:val="713"/>
        <w:jc w:val="both"/>
      </w:pPr>
      <w:r/>
      <w:r/>
    </w:p>
    <w:p>
      <w:pPr>
        <w:pStyle w:val="713"/>
        <w:ind w:firstLine="708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  <w:r/>
    </w:p>
    <w:p>
      <w:pPr>
        <w:pStyle w:val="787"/>
        <w:ind w:left="0" w:right="0" w:firstLine="568"/>
        <w:jc w:val="both"/>
        <w:shd w:val="clear" w:color="ffffff" w:fill="ffffff" w:themeFill="background1"/>
      </w:pPr>
      <w:r>
        <w:rPr>
          <w:rFonts w:ascii="Times New Roman" w:hAnsi="Times New Roman" w:cs="Times New Roman"/>
        </w:rPr>
      </w:r>
      <w:r/>
    </w:p>
    <w:p>
      <w:pPr>
        <w:pStyle w:val="711"/>
        <w:ind w:firstLine="709"/>
        <w:jc w:val="both"/>
        <w:shd w:val="clear" w:color="ffffff" w:fill="ffffff" w:themeFill="background1"/>
        <w:widowControl w:val="off"/>
      </w:pPr>
      <w:r>
        <w:rPr>
          <w:sz w:val="28"/>
          <w:szCs w:val="28"/>
        </w:rPr>
        <w:t xml:space="preserve">Мероприятия по реализации программы профилактики рисков причинения вреда (ущерба) охраняемым законом ценностям в рамках организации и ос</w:t>
      </w:r>
      <w:r>
        <w:rPr>
          <w:sz w:val="28"/>
          <w:szCs w:val="28"/>
        </w:rPr>
        <w:t xml:space="preserve">уществления регионального государственного экологического контроля (надзора) на территории муниципального района Алексеевский Самарской области по организации и осуществлению регионального государственного экологического контроля  (надзора), осуществляются</w:t>
      </w:r>
      <w:r>
        <w:rPr>
          <w:sz w:val="28"/>
          <w:szCs w:val="28"/>
        </w:rPr>
        <w:t xml:space="preserve"> должностными лицами отдела по экологии и природопользованию Администрации муниципального района Алексеевский Самарской области (далее - отдел по экологии), уполномоченными на осуществление регионального государственного экологического контроля  (надзора).</w:t>
      </w:r>
      <w:r/>
    </w:p>
    <w:p>
      <w:pPr>
        <w:pStyle w:val="787"/>
        <w:ind w:left="0" w:right="0" w:firstLine="568"/>
        <w:jc w:val="both"/>
      </w:pPr>
      <w:r>
        <w:rPr>
          <w:rFonts w:ascii="Times New Roman" w:hAnsi="Times New Roman" w:cs="Times New Roman"/>
        </w:rPr>
      </w:r>
      <w:r/>
    </w:p>
    <w:p>
      <w:pPr>
        <w:pStyle w:val="711"/>
        <w:ind w:firstLine="851"/>
        <w:jc w:val="both"/>
      </w:pPr>
      <w:r>
        <w:rPr>
          <w:sz w:val="28"/>
          <w:szCs w:val="28"/>
        </w:rPr>
        <w:t xml:space="preserve">Сотрудники, уполномоченные на осуществление регионального государственного экологического контроля (надзора), наделены отдельными государственными полномочиями в области охраны окружающей среды, в следующих сферах: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а) государственный надзор в области обращения с отходами;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б) государственный надзор в области охраны атмосферного воздуха;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в) государственный надзор в области охраны водных объектов, за исключением водных объектов, подлежащих федеральному государственному надзору.</w:t>
      </w:r>
      <w:r/>
    </w:p>
    <w:p>
      <w:pPr>
        <w:pStyle w:val="711"/>
        <w:ind w:firstLine="708"/>
        <w:jc w:val="both"/>
        <w:widowControl w:val="off"/>
      </w:pPr>
      <w:r>
        <w:rPr>
          <w:rFonts w:eastAsia="Calibri"/>
          <w:sz w:val="28"/>
          <w:szCs w:val="28"/>
          <w:lang w:eastAsia="en-US"/>
        </w:rPr>
        <w:t xml:space="preserve">Ключевым риском является вероятность причинения вреда окружающей среде юридически</w:t>
      </w:r>
      <w:r>
        <w:rPr>
          <w:rFonts w:eastAsia="Calibri"/>
          <w:sz w:val="28"/>
          <w:szCs w:val="28"/>
          <w:lang w:eastAsia="en-US"/>
        </w:rPr>
        <w:t xml:space="preserve">ми лицами и индивидуальными предпринимателями, осуществляющими хозяйственную и (или) иную деятельность на объектах, подлежащих региональному государственному экологическому контролю (надзору) расположенных на территории муниципального района Алексеевский. </w:t>
      </w:r>
      <w:r/>
    </w:p>
    <w:p>
      <w:pPr>
        <w:pStyle w:val="711"/>
        <w:ind w:firstLine="708"/>
        <w:jc w:val="both"/>
        <w:widowControl w:val="off"/>
      </w:pPr>
      <w:r>
        <w:rPr>
          <w:rFonts w:eastAsia="Calibri"/>
          <w:sz w:val="28"/>
          <w:szCs w:val="28"/>
          <w:lang w:eastAsia="en-US"/>
        </w:rPr>
        <w:t xml:space="preserve">С целью учета риска для окружающей среды подконтрольные объекты, подлежащие региональному государственному экологическому контролю (надзору),  распределены на 4 категории по уровню негативного воздействия на окружающую среду:</w:t>
      </w:r>
      <w:r/>
    </w:p>
    <w:p>
      <w:pPr>
        <w:pStyle w:val="711"/>
        <w:ind w:firstLine="851"/>
        <w:jc w:val="both"/>
        <w:widowControl w:val="off"/>
      </w:pPr>
      <w:r>
        <w:rPr>
          <w:rFonts w:ascii="Symbol" w:hAnsi="Symbol" w:eastAsia="Symbol" w:cs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значительное негативное воздействие на окружающую среду и относящиеся к областям применения наилучших доступных технологий, - объекты I категории;</w:t>
      </w:r>
      <w:r/>
    </w:p>
    <w:p>
      <w:pPr>
        <w:pStyle w:val="711"/>
        <w:ind w:firstLine="851"/>
        <w:jc w:val="both"/>
        <w:widowControl w:val="off"/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Symbol" w:hAnsi="Symbol" w:eastAsia="Symbol" w:cs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умеренное негативное воздействие на окружающую среду, - объекты II категории;</w:t>
      </w:r>
      <w:r/>
    </w:p>
    <w:p>
      <w:pPr>
        <w:pStyle w:val="711"/>
        <w:ind w:firstLine="708"/>
        <w:jc w:val="both"/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Symbol" w:hAnsi="Symbol" w:eastAsia="Symbol" w:cs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незначительное негативное воздействие на окружающую среду, - объекты III категории;</w:t>
      </w:r>
      <w:r/>
    </w:p>
    <w:p>
      <w:pPr>
        <w:pStyle w:val="711"/>
        <w:ind w:firstLine="708"/>
        <w:jc w:val="both"/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Symbol" w:hAnsi="Symbol" w:eastAsia="Symbol" w:cs="Symbol"/>
          <w:sz w:val="28"/>
          <w:szCs w:val="28"/>
          <w:lang w:eastAsia="en-US"/>
        </w:rPr>
        <w:t xml:space="preserve">-</w:t>
      </w:r>
      <w:r>
        <w:rPr>
          <w:rFonts w:eastAsia="Calibri"/>
          <w:sz w:val="28"/>
          <w:szCs w:val="28"/>
          <w:lang w:eastAsia="en-US"/>
        </w:rPr>
        <w:t xml:space="preserve"> объекты, оказывающие минимальное негативное воздействие на окружающую среду, - объекты IV категории. </w:t>
      </w:r>
      <w:r/>
    </w:p>
    <w:p>
      <w:pPr>
        <w:pStyle w:val="711"/>
        <w:ind w:firstLine="708"/>
        <w:jc w:val="both"/>
      </w:pPr>
      <w:r>
        <w:rPr>
          <w:rFonts w:eastAsia="Calibri" w:cs="Times New Roman"/>
          <w:sz w:val="28"/>
          <w:szCs w:val="28"/>
          <w:lang w:eastAsia="en-US"/>
        </w:rPr>
        <w:t xml:space="preserve">Разделение объектов на категории осуществляется в зависимости от видов экономической деятельности и уровней негативного воздействия на </w:t>
      </w:r>
      <w:r>
        <w:rPr>
          <w:rFonts w:eastAsia="Calibri" w:cs="Times New Roman"/>
          <w:sz w:val="28"/>
          <w:szCs w:val="28"/>
          <w:lang w:eastAsia="en-US"/>
        </w:rPr>
        <w:t xml:space="preserve">окружающую среду в соответствии с критериями отнесения объектов, оказывающих негативное воздействие на окружающую среду, к объектам I, II, III и IV категорий, утвержденными постановлением Правительства Российской Федерации от 31 декабря 2020 года № 2398. «</w:t>
      </w:r>
      <w:hyperlink r:id="rId14" w:tooltip="kodeks://link/d?nd=573292854" w:history="1">
        <w:r>
          <w:rPr>
            <w:rFonts w:cs="Times New Roman"/>
            <w:sz w:val="28"/>
            <w:szCs w:val="28"/>
          </w:rPr>
          <w:t xml:space="preserve">Об утверждении критериев отнесения объектов, оказывающих негативное воздействие на окружающую среду, к объектам I, II, III и IV категорий». </w:t>
        </w:r>
      </w:hyperlink>
      <w:r/>
      <w:r/>
    </w:p>
    <w:p>
      <w:pPr>
        <w:pStyle w:val="711"/>
        <w:ind w:firstLine="708"/>
        <w:jc w:val="both"/>
      </w:pPr>
      <w:r>
        <w:rPr>
          <w:rFonts w:eastAsia="Calibri"/>
          <w:sz w:val="28"/>
          <w:szCs w:val="28"/>
          <w:lang w:eastAsia="en-US"/>
        </w:rPr>
        <w:t xml:space="preserve">Региональный государственный экологический контроль (надзор) осуществляется посредством: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организации  и  проведения  проверок  выполнения  юридическими лицами, индивидуальными предпринимателями и гражданами РФ обязательных требований в области охраны окружающей среды; 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принятия предусмотренных законодательством  Российской Федерации мер по пресечению и (или) устранению выявленных нарушений, а также систематического   наблюдения за исполнением обязательных требований;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организации и проведения  мероприятий  по  профилактике рисков причинения вреда (ущерба) охраняемым законом ценностям;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Су</w:t>
      </w:r>
      <w:r>
        <w:rPr>
          <w:sz w:val="28"/>
          <w:szCs w:val="28"/>
        </w:rPr>
        <w:t xml:space="preserve">бъектами государственного (контроля) надзора являются как юридические лица, индивидуальные предприниматели, осуществляющие хозяйственную и иную деятельность, так и граждане Российской Федерации и </w:t>
      </w:r>
      <w:r>
        <w:rPr>
          <w:sz w:val="28"/>
          <w:szCs w:val="28"/>
        </w:rPr>
        <w:t xml:space="preserve">органы государственной власти, органы местного самоуправления, однако основное внимание уделено именно соблюдению требований природоохранного законодательства юридическими лицами и индивидуальными предпринимателями при эксплуатации ими конкретных объектов.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Нормативными правовыми актами, непосредственно регулирующими исполнение указанной функции, являются:</w:t>
      </w:r>
      <w:r/>
    </w:p>
    <w:p>
      <w:pPr>
        <w:pStyle w:val="711"/>
        <w:ind w:firstLine="709"/>
        <w:jc w:val="both"/>
        <w:widowControl w:val="off"/>
      </w:pPr>
      <w:r/>
      <w:hyperlink r:id="rId15" w:tooltip="consultantplus://offline/ref=35D5E16C2385AA33BDDCCC68C7DD9627026F8608BB3CF70433A171wFV0L" w:history="1">
        <w:r>
          <w:rPr>
            <w:sz w:val="28"/>
            <w:szCs w:val="28"/>
          </w:rPr>
          <w:t xml:space="preserve">Конституция</w:t>
        </w:r>
      </w:hyperlink>
      <w:r>
        <w:rPr>
          <w:sz w:val="28"/>
          <w:szCs w:val="28"/>
        </w:rPr>
        <w:t xml:space="preserve"> Российской Федерации ("Российская газета", 1993, N 237);</w:t>
      </w:r>
      <w:r/>
    </w:p>
    <w:p>
      <w:pPr>
        <w:pStyle w:val="711"/>
        <w:ind w:firstLine="709"/>
        <w:jc w:val="both"/>
        <w:widowControl w:val="off"/>
      </w:pPr>
      <w:r/>
      <w:hyperlink r:id="rId16" w:tooltip="consultantplus://offline/ref=35D5E16C2385AA33BDDCCC68C7DD962702678905B26C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об административных правонарушениях от 30.12.2001 N 195-ФЗ (Собрание законодательства Российской Федерации, 2002, N 1, ст. 1);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Арбитражный процессуальный </w:t>
      </w:r>
      <w:hyperlink r:id="rId17" w:tooltip="consultantplus://offline/ref=35D5E16C2385AA33BDDCCC68C7DD96270267810FB169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от 24.07.2002 N 95-ФЗ (Собрание законодательства Российской Федерации, 2002, N 30, ст. 3012);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Гражданский процессуальный </w:t>
      </w:r>
      <w:hyperlink r:id="rId18" w:tooltip="consultantplus://offline/ref=35D5E16C2385AA33BDDCCC68C7DD96270267810DB763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от 14.11.2002 N 138-ФЗ (Собрание законодательства Российской Федерации, 18.11.2002, N 46, ст. 4532; "Парламентская газета", N 220 - 221, 20.11.2002, «Российская газета», N 220, 20.11.2002);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Водный </w:t>
      </w:r>
      <w:hyperlink r:id="rId19" w:tooltip="consultantplus://offline/ref=35D5E16C2385AA33BDDCCC68C7DD962702678905B26CA00662F47FF5E6w2V8L" w:history="1">
        <w:r>
          <w:rPr>
            <w:sz w:val="28"/>
            <w:szCs w:val="28"/>
          </w:rPr>
          <w:t xml:space="preserve">Кодекс</w:t>
        </w:r>
      </w:hyperlink>
      <w:r>
        <w:rPr>
          <w:sz w:val="28"/>
          <w:szCs w:val="28"/>
        </w:rPr>
        <w:t xml:space="preserve"> Российской Федерации  от 03.06.2006 N 74-ФЗ;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Федеральный </w:t>
      </w:r>
      <w:hyperlink r:id="rId20" w:tooltip="consultantplus://offline/ref=35D5E16C2385AA33BDDCCC68C7DD96270267800CB56BA00662F47FF5E6w2V8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от 10.01.2002 N 7-ФЗ «Об охране окружающей среды» (Собрание законодательства Российской Федерации, 2002, N 2, ст. 133);</w:t>
      </w:r>
      <w:r/>
    </w:p>
    <w:p>
      <w:pPr>
        <w:pStyle w:val="711"/>
        <w:ind w:firstLine="709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Федеральный  закон от 31.07.2020 № 248-ФЗ « О государственном  контроле (надзоре) и муниципальном контроле в Российской Федерации»</w:t>
      </w:r>
      <w:r>
        <w:rPr>
          <w:rFonts w:eastAsia="Calibri"/>
          <w:sz w:val="28"/>
          <w:szCs w:val="28"/>
        </w:rPr>
        <w:t xml:space="preserve"> (Официальный интернет-портал правовой информации http://pravo.gov.ru, 31.07.2020);</w:t>
      </w:r>
      <w:r/>
    </w:p>
    <w:p>
      <w:pPr>
        <w:pStyle w:val="711"/>
        <w:ind w:firstLine="709"/>
        <w:jc w:val="both"/>
        <w:widowControl w:val="off"/>
      </w:pPr>
      <w:r>
        <w:rPr>
          <w:sz w:val="28"/>
          <w:szCs w:val="28"/>
        </w:rPr>
        <w:t xml:space="preserve">Федеральный </w:t>
      </w:r>
      <w:hyperlink r:id="rId21" w:tooltip="consultantplus://offline/ref=35D5E16C2385AA33BDDCCC68C7DD9627016F890EB562A00662F47FF5E62858D3E663B2D34BF922FDwCV6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от 02.05.2006 N 59-ФЗ «О порядке рассмотрения обращений граждан Российской Федерации» (Собрание законодательства Российской Федерации, 2006, N 19, ст. 2060);</w:t>
      </w:r>
      <w:r/>
    </w:p>
    <w:p>
      <w:pPr>
        <w:pStyle w:val="711"/>
        <w:ind w:firstLine="709"/>
        <w:jc w:val="both"/>
      </w:pPr>
      <w:r/>
      <w:hyperlink r:id="rId22" w:tooltip="consultantplus://offline/ref=35D5E16C2385AA33BDDCCC68C7DD962702678009B068A00662F47FF5E6w2V8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Российской Федерации от 04.05.1999 N 96-ФЗ «Об охране атмосферного воздуха»;</w:t>
      </w:r>
      <w:r/>
    </w:p>
    <w:p>
      <w:pPr>
        <w:pStyle w:val="711"/>
        <w:ind w:firstLine="709"/>
        <w:jc w:val="both"/>
      </w:pPr>
      <w:r/>
      <w:hyperlink r:id="rId23" w:tooltip="consultantplus://offline/ref=35D5E16C2385AA33BDDCCC68C7DD962702678009B068A00662F47FF5E6w2V8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Российской Федерации от 24.06.1998 N 89-ФЗ «Об отходах производства и потребления»;</w:t>
      </w:r>
      <w:r/>
    </w:p>
    <w:p>
      <w:pPr>
        <w:pStyle w:val="711"/>
        <w:ind w:firstLine="709"/>
        <w:jc w:val="both"/>
        <w:widowControl w:val="off"/>
      </w:pPr>
      <w:r/>
      <w:hyperlink r:id="rId24" w:tooltip="consultantplus://offline/ref=35D5E16C2385AA33BDDCD265D1B1CA2F066CDF00B86BA35137AB24A8B1215284A12CEB910FF423FAC65C8Cw8VFL" w:history="1">
        <w:r>
          <w:rPr>
            <w:sz w:val="28"/>
            <w:szCs w:val="28"/>
          </w:rPr>
          <w:t xml:space="preserve">Закон</w:t>
        </w:r>
      </w:hyperlink>
      <w:r>
        <w:rPr>
          <w:sz w:val="28"/>
          <w:szCs w:val="28"/>
        </w:rPr>
        <w:t xml:space="preserve"> Самарской области от 06.04.2009 N 46-ГД «Об охране окружающей среды и природопользовании в Самарской области» («Волжская коммуна», 2009 N 131 (26590);</w:t>
      </w:r>
      <w:r/>
    </w:p>
    <w:p>
      <w:pPr>
        <w:pStyle w:val="711"/>
        <w:ind w:firstLine="708"/>
        <w:jc w:val="both"/>
        <w:widowControl w:val="off"/>
      </w:pPr>
      <w:r>
        <w:rPr>
          <w:sz w:val="28"/>
          <w:szCs w:val="28"/>
        </w:rPr>
        <w:t xml:space="preserve">Закон Самарской области от 06. 04. 2010 № 36 – ГД «О наделении органов  местного  самоуправления отдельными государственными полномочиями в сфере охраны окружающей среды»;</w:t>
      </w:r>
      <w:r/>
    </w:p>
    <w:p>
      <w:pPr>
        <w:pStyle w:val="711"/>
        <w:ind w:firstLine="708"/>
        <w:jc w:val="both"/>
        <w:widowControl w:val="off"/>
      </w:pPr>
      <w:r>
        <w:rPr>
          <w:sz w:val="28"/>
          <w:szCs w:val="28"/>
        </w:rPr>
        <w:t xml:space="preserve">иные нормативные правовые акты Российской Федерации, Самарской области и органов местного самоуправления  м. р. Алексеевский Самарской области.</w:t>
      </w:r>
      <w:r/>
    </w:p>
    <w:p>
      <w:pPr>
        <w:pStyle w:val="711"/>
        <w:contextualSpacing/>
        <w:ind w:firstLine="708"/>
        <w:jc w:val="both"/>
        <w:spacing w:before="0" w:after="0"/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В целях профилактики нарушений обязательных требований законодательства в области охраны окружающей среды на официальном сайте Администрации муниципального района Алексеевский Самарской области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(далее - Администрация)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в информационно - телекоммуникационной сети интернет (далее - официальный сайт) https://alexadm63.ru размещены  </w:t>
      </w:r>
      <w:r>
        <w:rPr>
          <w:rFonts w:ascii="Arial" w:hAnsi="Arial"/>
          <w:color w:val="000000" w:themeColor="text1"/>
          <w:sz w:val="16"/>
          <w:szCs w:val="20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перечни обязательных требований, оценка которых является предметом регионального государственного экологического контроля (надзора) и оценивается при проведении мероприятий по контролю.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По всем поступающим от хозяйствующих субъектов вопросам в части осуществления в их отношении контрольно-надзорных мероприятий должностными лицами даются компетентные разъяснения и консультации.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В целях осуществления экологического просвещения, стимулирования и популяризации общественного контроля ведется работа по информированию граждан, в том числе: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через официальный портал Администрации муниципального района Алексеевский, средства массовой информации, подведомственные учреждения и иных хозяйствующих субъектов;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ежегодно изготавливаются и распространяются среди организаций и населения муниципального района Алексеевский информационные буклеты, календари на экологическую тематику.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Отделом по экологии  проводятся семинары с индивидуальными предпринимателями и юридич</w:t>
      </w:r>
      <w:r>
        <w:rPr>
          <w:rFonts w:eastAsia="Calibri"/>
          <w:sz w:val="28"/>
          <w:szCs w:val="28"/>
          <w:lang w:eastAsia="en-US"/>
        </w:rPr>
        <w:t xml:space="preserve">ескими лицами по профилактике нарушений обязательных требований природоохранного законодательства. Информирование индивидуальных предпринимателей и юридических лиц проводится через официальное опубликование в газете «Степная Правда» и на официальном сайте.</w:t>
      </w:r>
      <w:r/>
    </w:p>
    <w:p>
      <w:pPr>
        <w:pStyle w:val="711"/>
        <w:widowControl w:val="off"/>
      </w:pPr>
      <w:r/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  <w:t xml:space="preserve">Раздел 2. Цели и задачи реализации Программы профилактики.</w:t>
      </w:r>
      <w:r/>
    </w:p>
    <w:p>
      <w:pPr>
        <w:pStyle w:val="711"/>
        <w:jc w:val="center"/>
        <w:widowControl w:val="off"/>
      </w:pPr>
      <w:r/>
      <w:r/>
    </w:p>
    <w:p>
      <w:pPr>
        <w:pStyle w:val="711"/>
        <w:ind w:firstLine="851"/>
        <w:jc w:val="both"/>
      </w:pPr>
      <w:r>
        <w:rPr>
          <w:rFonts w:eastAsia="Arial"/>
          <w:bCs/>
          <w:sz w:val="28"/>
          <w:szCs w:val="28"/>
        </w:rPr>
        <w:t xml:space="preserve">Цели профилактической работы:</w:t>
      </w:r>
      <w:r/>
    </w:p>
    <w:p>
      <w:pPr>
        <w:pStyle w:val="711"/>
        <w:ind w:firstLine="851"/>
        <w:jc w:val="both"/>
      </w:pPr>
      <w:r>
        <w:rPr>
          <w:rFonts w:eastAsia="Arial"/>
          <w:bCs/>
          <w:sz w:val="28"/>
          <w:szCs w:val="28"/>
        </w:rPr>
        <w:t xml:space="preserve">- предупреждение нарушений субъектами, в отношении которых осуществляется региональный, государственный экологический контроль (надзор);</w:t>
      </w:r>
      <w:r/>
    </w:p>
    <w:p>
      <w:pPr>
        <w:pStyle w:val="711"/>
        <w:contextualSpacing/>
        <w:ind w:firstLine="709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сокращение количества нарушений юридическими лицами и индивидуальными предпринимателями (далее – субъекты профилактики) обязательных требований в области охраны окружающей среды на территории муниципального района Алексеевский;</w:t>
      </w:r>
      <w:r/>
    </w:p>
    <w:p>
      <w:pPr>
        <w:pStyle w:val="711"/>
        <w:contextualSpacing/>
        <w:ind w:firstLine="709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обеспечение доступности информации об обязательных требованиях в области охраны окружающей среды;</w:t>
      </w:r>
      <w:r/>
    </w:p>
    <w:p>
      <w:pPr>
        <w:pStyle w:val="711"/>
        <w:contextualSpacing/>
        <w:ind w:firstLine="709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устранение условий, причин и факторов, способных привести к нарушениям обязательных требований и (или) причинению вреда  окружающей среде.</w:t>
      </w:r>
      <w:r/>
    </w:p>
    <w:p>
      <w:pPr>
        <w:pStyle w:val="711"/>
        <w:ind w:firstLine="851"/>
        <w:jc w:val="both"/>
      </w:pPr>
      <w:r>
        <w:rPr>
          <w:rFonts w:eastAsia="Arial"/>
          <w:bCs/>
          <w:sz w:val="28"/>
          <w:szCs w:val="28"/>
        </w:rPr>
        <w:t xml:space="preserve">Проведение профилактических мероприятий позволит решить следующие задачи:</w:t>
      </w:r>
      <w:r/>
    </w:p>
    <w:p>
      <w:pPr>
        <w:pStyle w:val="711"/>
        <w:ind w:firstLine="709"/>
        <w:jc w:val="both"/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</w:rPr>
        <w:t xml:space="preserve">формирование единого понимания обязательных требований законодательства в области охраны окружающей среды у всех поднадзорных субъектов.</w:t>
      </w:r>
      <w:r/>
    </w:p>
    <w:p>
      <w:pPr>
        <w:pStyle w:val="711"/>
        <w:contextualSpacing/>
        <w:ind w:firstLine="709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повышение уровня правовой грамотности субъектов профилактики в области охраны окружающей среды;</w:t>
      </w:r>
      <w:r/>
    </w:p>
    <w:p>
      <w:pPr>
        <w:pStyle w:val="711"/>
        <w:contextualSpacing/>
        <w:ind w:firstLine="709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повышение прозрачности системы контрольно - надзорной деятельности;</w:t>
      </w:r>
      <w:r/>
    </w:p>
    <w:p>
      <w:pPr>
        <w:pStyle w:val="711"/>
        <w:contextualSpacing/>
        <w:ind w:firstLine="709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 xml:space="preserve"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</w:t>
      </w:r>
      <w:r>
        <w:rPr>
          <w:rFonts w:eastAsia="Calibri"/>
          <w:sz w:val="28"/>
          <w:szCs w:val="28"/>
          <w:lang w:eastAsia="en-US"/>
        </w:rPr>
        <w:t xml:space="preserve">  </w:t>
      </w:r>
      <w:r/>
    </w:p>
    <w:p>
      <w:pPr>
        <w:pStyle w:val="711"/>
        <w:contextualSpacing/>
        <w:ind w:firstLine="851"/>
        <w:jc w:val="both"/>
        <w:spacing w:before="0" w:after="0"/>
      </w:pPr>
      <w:r>
        <w:rPr>
          <w:rFonts w:eastAsia="Calibri"/>
          <w:sz w:val="28"/>
          <w:szCs w:val="28"/>
          <w:lang w:eastAsia="en-US"/>
        </w:rPr>
        <w:t xml:space="preserve">Настоящая программа призвана обеспечить в 2025 году создание условий для снижения с</w:t>
      </w:r>
      <w:r>
        <w:rPr>
          <w:rFonts w:eastAsia="Calibri"/>
          <w:sz w:val="28"/>
          <w:szCs w:val="28"/>
          <w:lang w:eastAsia="en-US"/>
        </w:rPr>
        <w:t xml:space="preserve">лучаев нарушения в области охраны окружающей среды и природопользования, повышения результативности и эффективности надзора в области охраны окружающей среды, формирования заинтересованности подконтрольных субъектов в соблюдении природоохранных требований.</w:t>
      </w:r>
      <w:r/>
    </w:p>
    <w:p>
      <w:pPr>
        <w:pStyle w:val="711"/>
        <w:ind w:firstLine="851"/>
        <w:jc w:val="both"/>
      </w:pPr>
      <w:r>
        <w:rPr>
          <w:rFonts w:eastAsia="Calibri"/>
          <w:sz w:val="28"/>
          <w:szCs w:val="28"/>
          <w:lang w:eastAsia="en-US"/>
        </w:rPr>
        <w:t xml:space="preserve"> </w:t>
      </w:r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  <w:t xml:space="preserve">Раздел 3. Перечень профилактических мероприятий программы, сроки (периодичность) их проведения. </w:t>
      </w:r>
      <w:r/>
    </w:p>
    <w:p>
      <w:pPr>
        <w:pStyle w:val="711"/>
        <w:jc w:val="center"/>
        <w:widowControl w:val="off"/>
      </w:pPr>
      <w:r>
        <w:rPr>
          <w:b/>
          <w:sz w:val="28"/>
          <w:szCs w:val="28"/>
        </w:rPr>
      </w:r>
      <w:r/>
    </w:p>
    <w:p>
      <w:pPr>
        <w:pStyle w:val="711"/>
        <w:jc w:val="center"/>
        <w:spacing w:before="0"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План мероприятий</w:t>
      </w:r>
      <w:r/>
    </w:p>
    <w:p>
      <w:pPr>
        <w:pStyle w:val="711"/>
        <w:jc w:val="center"/>
        <w:spacing w:before="0"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по профилактике рисков причинения вреда (ущерба) охраняемым законом ценностям (окружающей среде) Администрации 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lang w:val="ru-RU" w:eastAsia="zh-CN" w:bidi="ar-SA"/>
        </w:rPr>
        <w:t xml:space="preserve">муниципального района Алексеевский 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в рамках осуществления отдельных переданных государственных полномочий в сфере охраны окружающей среды (региональный государственный экологический контроль (надзор) на 2025 год</w:t>
      </w:r>
      <w:r/>
    </w:p>
    <w:p>
      <w:pPr>
        <w:pStyle w:val="711"/>
        <w:jc w:val="center"/>
        <w:spacing w:before="0" w:after="0"/>
      </w:pPr>
      <w:r>
        <w:rPr>
          <w:rFonts w:ascii="Times New Roman" w:hAnsi="Times New Roman" w:cs="Times New Roman"/>
          <w:sz w:val="24"/>
          <w:szCs w:val="28"/>
        </w:rPr>
      </w:r>
      <w:r/>
    </w:p>
    <w:tbl>
      <w:tblPr>
        <w:tblW w:w="9752" w:type="dxa"/>
        <w:tblInd w:w="-5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5"/>
        <w:gridCol w:w="5047"/>
        <w:gridCol w:w="1528"/>
        <w:gridCol w:w="1472"/>
        <w:gridCol w:w="108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Перечень мероприятий, направленных на профилактику нарушений обязательных требований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Срок проведения мероприятий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Ответственный исполнитель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Примечание (отметка об исполнении)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ежегодного плана проверок юридических лиц и индивидуальных предпринимателей на сайте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сети «Интернет».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течение 5 рабочих дней с момента утверждения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</w:pPr>
            <w:r>
              <w:rPr>
                <w:sz w:val="20"/>
                <w:szCs w:val="20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на сайте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сети «Интернет» перечня общих требований в части исполнения природоохранного законодательства.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01.03.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405" w:leader="none"/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5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Актуализация для каждого вида надзора перечня нормативных правовых актов, содержащих обязательные требования, оценка соблюдения которых является предметом надзора (в отношении водных объектов, территорий их водо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01.06.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25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на официальном сайте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сети «Интернет» актуализированного перечня нормативных правовых актов, содержащего обязательные требования, оценка соблюдения которых является предметом  надзора (в отношении водных объектов, территорий их водо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06.06.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285" w:leader="none"/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Подготовка текстов нормативных правовых актов, содержащих обязательные требования, оценка соблюдения которых является предметом  надзора.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01.07.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b w:val="0"/>
                <w:bCs w:val="0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405" w:leader="none"/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13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на официальном сайте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сети «Интернет» текстов нормативных правовых актов, содержащих обязательные требования, оценка соблюдения которых является предметом надзора.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06.07.</w:t>
            </w:r>
            <w:r>
              <w:rPr>
                <w:rFonts w:ascii="Times New Roman" w:hAnsi="Times New Roman" w:eastAsia="Times New Roman" w:cs="Times New Roman"/>
                <w:color w:val="auto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b w:val="0"/>
                <w:bCs w:val="0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15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7.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Подготовка официальных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разъяснений требований природоохранного законодательства, в том числе, комментарии о содержании новых нормативных правовых актов, устанавливающих обязательные требования, о внесенных изменениях в действующие акты, сроках и порядке вступления их в действие.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постоянно</w:t>
            </w:r>
            <w:r/>
          </w:p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(в случае изменения законодательства)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330" w:leader="none"/>
                <w:tab w:val="clear" w:pos="70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18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на официальном сайте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сети «Интернет» р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азъяснений требований природоохранного законодательства, в том числе, комментарии о содержании новых нормативных правовых актов, устанавливающих обязательные требования, о внесенных изменениях  в действующие акты, сроках и порядке вступления их в действие.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постоянно</w:t>
            </w:r>
            <w:r/>
          </w:p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(в случае изменения законодательства)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405" w:leader="none"/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Оказание содействия в предоставлении информации 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юридическим лицам и индивидуальным предпринимателям по вопросам соблюдения природоохранного законодательства, относящимся к компетенции управления охраны окружающей среды.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постоянно</w:t>
            </w:r>
            <w:r>
              <w:rPr>
                <w:rFonts w:ascii="Times New Roman" w:hAnsi="Times New Roman" w:eastAsia="Times New Roman" w:cs="Times New Roman"/>
                <w:color w:val="auto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Организация горячей линии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 для юридических лиц и индивидуальных предпринимателей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по вопросам 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соблюдения природоохранного законодательства, относящихся к компетенции 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отдела по экологии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 с периодичностью 1 раз в месяц.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постоянно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240" w:leader="none"/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на официальном сайте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сети «Интернет» сведений о горячей линии 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для юридических лиц и индивидуальных предпринимателей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по вопросам </w:t>
            </w:r>
            <w:r>
              <w:rPr>
                <w:rFonts w:ascii="Times New Roman" w:hAnsi="Times New Roman" w:eastAsia="MS Mincho;ＭＳ 明朝" w:cs="Times New Roman"/>
                <w:sz w:val="20"/>
                <w:szCs w:val="20"/>
                <w:lang w:eastAsia="ru-RU"/>
              </w:rPr>
              <w:t xml:space="preserve">соблюдения природоохранного законодательства, относящихся к компетенции управления охраны окружающей среды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ежемесячно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285" w:leader="none"/>
                <w:tab w:val="clear" w:pos="708" w:leader="none"/>
                <w:tab w:val="center" w:pos="237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Организация работы по обобщению и анализу практики осуществления госуд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арственного надзора с указанием наиболее часто встречающихся случаев нарушений обязательных требований и рекомендациями в отношении мер, которые должны приниматься юридическими лицами и индивидуальными предпринимателями в целях недопущения таких нарушений.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20.05.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tabs>
                <w:tab w:val="left" w:pos="270" w:leader="none"/>
                <w:tab w:val="clear" w:pos="70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Размещение на официальном сайте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Администрации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в сети «Интернет» информации по обобщению и анализу практики осуществления госуд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арственного надзора с указанием наиболее часто встречающихся случаев нарушений обязательных требований и рекомендациями в отношении мер, которые должны приниматься юридическими лицами и индивидуальными предпринимателями в целях недопущения таких нарушений.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ежегодно до 01.07.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25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047" w:type="dxa"/>
            <w:textDirection w:val="lrTb"/>
            <w:noWrap w:val="false"/>
          </w:tcPr>
          <w:p>
            <w:pPr>
              <w:pStyle w:val="790"/>
              <w:widowControl w:val="of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Проведение профилактических визитов</w:t>
            </w:r>
            <w:r>
              <w:rPr>
                <w:rFonts w:eastAsia="Times New Roman"/>
                <w:lang w:eastAsia="ru-RU"/>
              </w:rPr>
            </w:r>
            <w:r>
              <w:rPr>
                <w:rFonts w:eastAsia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528" w:type="dxa"/>
            <w:textDirection w:val="lrTb"/>
            <w:noWrap w:val="false"/>
          </w:tcPr>
          <w:p>
            <w:pPr>
              <w:pStyle w:val="790"/>
              <w:jc w:val="center"/>
              <w:widowControl w:val="of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в соответствии с утвержденным перечнем организаций, предлагаемых для проведения профилактического визита</w:t>
            </w:r>
            <w:r>
              <w:rPr>
                <w:rFonts w:eastAsia="Times New Roman"/>
                <w:lang w:eastAsia="ru-RU"/>
              </w:rPr>
            </w:r>
            <w:r>
              <w:rPr>
                <w:rFonts w:eastAsia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72" w:type="dxa"/>
            <w:textDirection w:val="lrTb"/>
            <w:noWrap w:val="false"/>
          </w:tcPr>
          <w:p>
            <w:pPr>
              <w:pStyle w:val="711"/>
              <w:ind w:left="-170" w:right="0" w:firstLine="0"/>
              <w:jc w:val="center"/>
              <w:spacing w:before="0" w:after="0" w:line="240" w:lineRule="auto"/>
              <w:widowControl w:val="off"/>
              <w:tabs>
                <w:tab w:val="left" w:pos="-164" w:leader="none"/>
                <w:tab w:val="clear" w:pos="708" w:leader="none"/>
                <w:tab w:val="center" w:pos="3238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Должностные лица 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zh-CN" w:bidi="ar-SA"/>
              </w:rPr>
              <w:t xml:space="preserve">отдела по экологии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pStyle w:val="711"/>
        <w:jc w:val="both"/>
        <w:spacing w:before="0"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11"/>
        <w:numPr>
          <w:ilvl w:val="0"/>
          <w:numId w:val="0"/>
        </w:numPr>
        <w:ind w:firstLine="709"/>
        <w:jc w:val="center"/>
        <w:spacing w:before="0" w:after="0"/>
        <w:widowControl w:val="off"/>
        <w:outlineLvl w:val="2"/>
      </w:pPr>
      <w:r>
        <w:rPr>
          <w:rFonts w:ascii="Times New Roman" w:hAnsi="Times New Roman" w:eastAsia="Times New Roman" w:cs="Times New Roman"/>
          <w:b/>
          <w:bCs/>
          <w:sz w:val="28"/>
          <w:szCs w:val="26"/>
          <w:lang w:val="ru-RU" w:bidi="ru-RU"/>
        </w:rPr>
        <w:t xml:space="preserve">Раздел 4. Показатели результативности и эффективности программы профилактики</w:t>
      </w:r>
      <w:r/>
    </w:p>
    <w:p>
      <w:pPr>
        <w:pStyle w:val="711"/>
        <w:contextualSpacing/>
        <w:ind w:firstLine="709"/>
        <w:spacing w:before="0" w:after="0" w:line="240" w:lineRule="auto"/>
        <w:shd w:val="clear" w:color="ffffff" w:fill="ffffff"/>
        <w:widowControl w:val="off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8"/>
          <w:lang w:eastAsia="ru-RU" w:bidi="ru-RU"/>
        </w:rPr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4.1. Основным механизмом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Показателями качества профилактических мероприятий являются:</w:t>
      </w:r>
      <w:r/>
    </w:p>
    <w:p>
      <w:pPr>
        <w:pStyle w:val="711"/>
        <w:numPr>
          <w:ilvl w:val="0"/>
          <w:numId w:val="3"/>
        </w:numPr>
        <w:ind w:left="0"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улучшение состояния подконтрольной среды (повышение уровня правовой грамотности, законопослушности контролируемых лиц в вопросах исполнения обязательных требований природоохранного законодательства, повыше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ние степени их информированности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проверки, повышение качества поступающей информации и др.);</w:t>
      </w:r>
      <w:r/>
    </w:p>
    <w:p>
      <w:pPr>
        <w:pStyle w:val="711"/>
        <w:numPr>
          <w:ilvl w:val="0"/>
          <w:numId w:val="3"/>
        </w:numPr>
        <w:ind w:left="0"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снижение количества фактов причинения вреда окружающей среде;</w:t>
      </w:r>
      <w:r/>
    </w:p>
    <w:p>
      <w:pPr>
        <w:pStyle w:val="711"/>
        <w:numPr>
          <w:ilvl w:val="0"/>
          <w:numId w:val="3"/>
        </w:numPr>
        <w:ind w:left="0"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снижение количества нарушений обязательных требований природоохранного законодательства.</w:t>
      </w:r>
      <w:r/>
    </w:p>
    <w:p>
      <w:pPr>
        <w:pStyle w:val="711"/>
        <w:numPr>
          <w:ilvl w:val="0"/>
          <w:numId w:val="3"/>
        </w:numPr>
        <w:ind w:left="0"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снижением количества правонарушений при осуществлении контролируемыми лицами своей деятельности. 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Оценка результативности и эффективности контрольно-надзорной деятельности направлена на снижение уровня вреда (ущерба) охраняемым законом ценностям в сфере деятельности Администрации.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Ключевым показателем результативности осуществления контроля (надзора) в области охра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ны окружающей среды является доля правонарушений, повлекших причинение вреда окружающей среде, из числа правонарушений, выявленных в ходе проведения проверок в рамках регионального экологического надзора. Целевое значение данного показателя составляет 20%.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Индикативными показателями результативности осуществления  контроля (надзора) в области охраны окружающей среды являются: 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а) общее количество проведенных плановых выездных проверок. Целевое значение данного показателя составляет 100%;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б) общее количество проведенных рейдовых осмотров. Целевое значение данного показателя составляет 100%.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Перечень индикаторов риска нарушения обязательных требований при осуществлении регионального экологического надзора: 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а) поступление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eastAsia="ru-RU" w:bidi="ar-SA"/>
        </w:rPr>
        <w:t xml:space="preserve">адрес Администрации информации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 неблагоприятных метеорологических условиях на территории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val="ru-RU" w:eastAsia="ru-RU" w:bidi="ar-SA"/>
        </w:rPr>
        <w:t xml:space="preserve">м.р. Алексеевский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б) поступление информации об аварийных выбросах загрязняющих веществ в атмосферный воздух; 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в) поступление информации об авариях и иных чрезвычайных ситуациях на водных объектах;</w:t>
      </w:r>
      <w:r/>
    </w:p>
    <w:p>
      <w:pPr>
        <w:pStyle w:val="711"/>
        <w:ind w:firstLine="709"/>
        <w:jc w:val="both"/>
        <w:spacing w:before="0" w:after="0" w:line="240" w:lineRule="auto"/>
        <w:widowControl w:val="off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г) поступление информации о сбросе отходов производства и потребления в поверхностные и подземные водные объекты, на водосборные площади, в недра и на почву.</w:t>
      </w:r>
      <w:r/>
    </w:p>
    <w:p>
      <w:pPr>
        <w:pStyle w:val="711"/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/>
    </w:p>
    <w:p>
      <w:pPr>
        <w:pStyle w:val="711"/>
        <w:jc w:val="center"/>
        <w:spacing w:before="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Отчетные показатели профилактических мероприятий в 2025 году</w:t>
      </w:r>
      <w:r/>
    </w:p>
    <w:p>
      <w:pPr>
        <w:pStyle w:val="711"/>
        <w:jc w:val="center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9580" w:type="dxa"/>
        <w:tblInd w:w="-5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02"/>
        <w:gridCol w:w="6648"/>
        <w:gridCol w:w="213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2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п\п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48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2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48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Доля правонарушений, повлекших причинение вреда окружающей среде, из общего числа выявленных правонарушений при проведении проверок  в отношении подведомственных субъектов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2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48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Выдача предостережений  о   недопустимости нарушения обязательных требований в случаях, предусмотренных законодательством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100%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2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48" w:type="dxa"/>
            <w:textDirection w:val="lrTb"/>
            <w:noWrap w:val="false"/>
          </w:tcPr>
          <w:p>
            <w:pPr>
              <w:pStyle w:val="711"/>
              <w:jc w:val="both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Исполняемость плана мероприятий по 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рисков причинения вреда  охраняемым законом ценностям вследствие нарушений обязательных требований законодательства в сфере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 xml:space="preserve">природо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0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100%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pStyle w:val="711"/>
        <w:spacing w:before="0"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711"/>
        <w:jc w:val="center"/>
        <w:spacing w:before="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Плановые показатели профилактических мероприятий в 2026-2027 году</w:t>
      </w:r>
      <w:r/>
    </w:p>
    <w:p>
      <w:pPr>
        <w:pStyle w:val="711"/>
        <w:spacing w:before="0" w:after="0" w:line="240" w:lineRule="auto"/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9580" w:type="dxa"/>
        <w:tblInd w:w="-5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71"/>
        <w:gridCol w:w="6674"/>
        <w:gridCol w:w="213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1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п\п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74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Величина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1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74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Доля правонарушений, повлекших причинение вреда окружающей среде, из общего числа выявленных правонарушений при проведении проверок  в отношении подведомственных субъектов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20%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1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74" w:type="dxa"/>
            <w:textDirection w:val="lrTb"/>
            <w:noWrap w:val="false"/>
          </w:tcPr>
          <w:p>
            <w:pPr>
              <w:pStyle w:val="711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Выдача предостережений о недопустимости нарушения обязательных требований в случаях, предусмотренных законодательством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100%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1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74" w:type="dxa"/>
            <w:textDirection w:val="lrTb"/>
            <w:noWrap w:val="false"/>
          </w:tcPr>
          <w:p>
            <w:pPr>
              <w:pStyle w:val="711"/>
              <w:jc w:val="both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Исполняемость плана мероприятий по 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рисков причинения вреда охраняемым законом ценностям вследствие нарушений обязательных требований законодательства в сфере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 xml:space="preserve">природо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5" w:type="dxa"/>
            <w:textDirection w:val="lrTb"/>
            <w:noWrap w:val="false"/>
          </w:tcPr>
          <w:p>
            <w:pPr>
              <w:pStyle w:val="711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100%</w: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</w:tr>
    </w:tbl>
    <w:p>
      <w:pPr>
        <w:pStyle w:val="711"/>
        <w:jc w:val="both"/>
        <w:spacing w:before="0" w:after="0" w:line="240" w:lineRule="auto"/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11"/>
        <w:jc w:val="center"/>
      </w:pPr>
      <w:r/>
      <w:r/>
    </w:p>
    <w:p>
      <w:pPr>
        <w:pStyle w:val="711"/>
        <w:jc w:val="center"/>
      </w:pPr>
      <w:r/>
      <w:r/>
    </w:p>
    <w:p>
      <w:pPr>
        <w:pStyle w:val="711"/>
        <w:numPr>
          <w:ilvl w:val="0"/>
          <w:numId w:val="0"/>
        </w:numPr>
        <w:ind w:left="142" w:firstLine="0"/>
        <w:jc w:val="center"/>
        <w:spacing w:before="64" w:after="108"/>
        <w:widowControl w:val="off"/>
        <w:outlineLvl w:val="0"/>
      </w:pPr>
      <w:r>
        <w:rPr>
          <w:b/>
          <w:color w:val="000000" w:themeColor="text1"/>
          <w:sz w:val="28"/>
          <w:szCs w:val="28"/>
        </w:rPr>
        <w:t xml:space="preserve">Раздел </w:t>
      </w:r>
      <w:r>
        <w:rPr>
          <w:b/>
          <w:color w:val="000000" w:themeColor="text1"/>
          <w:sz w:val="28"/>
          <w:szCs w:val="28"/>
        </w:rPr>
        <w:t xml:space="preserve">5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. Ресурсное обеспечение Программы.</w:t>
      </w:r>
      <w:r/>
    </w:p>
    <w:p>
      <w:pPr>
        <w:pStyle w:val="711"/>
        <w:contextualSpacing/>
        <w:ind w:firstLine="708"/>
        <w:jc w:val="both"/>
        <w:spacing w:before="0" w:after="0"/>
      </w:pPr>
      <w:r>
        <w:rPr>
          <w:spacing w:val="-1"/>
          <w:sz w:val="28"/>
          <w:szCs w:val="28"/>
        </w:rPr>
        <w:t xml:space="preserve">Реализация Программы осуществляется за счет средств, выделяемых </w:t>
      </w:r>
      <w:r>
        <w:rPr>
          <w:sz w:val="28"/>
          <w:szCs w:val="28"/>
        </w:rPr>
        <w:t xml:space="preserve">из областного бюджета (субвенции)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исполнение  переданных  полномочий по осуществлению государственного надзора в сфере охраны окружающей среды, а так же </w:t>
      </w:r>
      <w:r>
        <w:rPr>
          <w:spacing w:val="-1"/>
          <w:sz w:val="28"/>
          <w:szCs w:val="28"/>
        </w:rPr>
        <w:t xml:space="preserve">ресурсов, выделяемых на основную деятельность  отдела экологии.</w:t>
      </w:r>
      <w:r/>
    </w:p>
    <w:p>
      <w:pPr>
        <w:pStyle w:val="711"/>
        <w:contextualSpacing/>
        <w:ind w:right="102" w:firstLine="851"/>
        <w:jc w:val="both"/>
        <w:spacing w:before="0" w:after="120"/>
      </w:pPr>
      <w:r>
        <w:rPr>
          <w:spacing w:val="-1"/>
          <w:sz w:val="28"/>
          <w:szCs w:val="28"/>
        </w:rPr>
        <w:t xml:space="preserve">Дополнительных финансовых и иных ресурсов, необходимых для реализации Программы, не требуется.</w:t>
      </w:r>
      <w:r/>
    </w:p>
    <w:p>
      <w:pPr>
        <w:pStyle w:val="711"/>
        <w:contextualSpacing/>
        <w:ind w:right="102" w:firstLine="851"/>
        <w:jc w:val="both"/>
        <w:spacing w:before="0" w:after="120"/>
      </w:pPr>
      <w:r>
        <w:rPr>
          <w:spacing w:val="-1"/>
          <w:sz w:val="28"/>
          <w:szCs w:val="28"/>
        </w:rPr>
        <w:t xml:space="preserve">Организация и проведение профилактических мероприятий осуществляется в соответствии с планом-графиком профилактических мероприятий.</w:t>
      </w:r>
      <w:r/>
    </w:p>
    <w:p>
      <w:pPr>
        <w:pStyle w:val="711"/>
        <w:numPr>
          <w:ilvl w:val="0"/>
          <w:numId w:val="0"/>
        </w:numPr>
        <w:ind w:left="0" w:firstLine="0"/>
        <w:jc w:val="center"/>
        <w:spacing w:before="108" w:after="108"/>
        <w:widowControl w:val="off"/>
        <w:outlineLvl w:val="0"/>
      </w:pPr>
      <w:r>
        <w:rPr>
          <w:b/>
          <w:color w:val="000000"/>
        </w:rPr>
      </w:r>
      <w:r/>
    </w:p>
    <w:p>
      <w:pPr>
        <w:pStyle w:val="711"/>
        <w:numPr>
          <w:ilvl w:val="0"/>
          <w:numId w:val="0"/>
        </w:numPr>
        <w:ind w:left="0" w:firstLine="0"/>
        <w:jc w:val="center"/>
        <w:spacing w:before="108" w:after="108"/>
        <w:widowControl w:val="off"/>
        <w:outlineLvl w:val="0"/>
      </w:pPr>
      <w:r>
        <w:rPr>
          <w:b/>
          <w:color w:val="000000"/>
        </w:rPr>
      </w:r>
      <w:r/>
    </w:p>
    <w:p>
      <w:pPr>
        <w:pStyle w:val="711"/>
        <w:numPr>
          <w:ilvl w:val="0"/>
          <w:numId w:val="0"/>
        </w:numPr>
        <w:ind w:left="0" w:firstLine="0"/>
        <w:jc w:val="center"/>
        <w:spacing w:before="108" w:after="108"/>
        <w:widowControl w:val="off"/>
        <w:outlineLvl w:val="0"/>
      </w:pPr>
      <w:r>
        <w:rPr>
          <w:b/>
          <w:color w:val="000000" w:themeColor="text1"/>
          <w:sz w:val="28"/>
          <w:szCs w:val="28"/>
        </w:rPr>
        <w:t xml:space="preserve">Раздел </w:t>
      </w:r>
      <w:r>
        <w:rPr>
          <w:b/>
          <w:color w:val="000000" w:themeColor="text1"/>
          <w:sz w:val="28"/>
          <w:szCs w:val="28"/>
        </w:rPr>
        <w:t xml:space="preserve">6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. Механизм реализации </w:t>
      </w:r>
      <w:r>
        <w:rPr>
          <w:b/>
          <w:bCs/>
          <w:color w:val="000000" w:themeColor="text1"/>
          <w:sz w:val="28"/>
          <w:szCs w:val="28"/>
        </w:rPr>
        <w:t xml:space="preserve">Программы.</w:t>
      </w:r>
      <w:r/>
    </w:p>
    <w:p>
      <w:pPr>
        <w:pStyle w:val="711"/>
        <w:ind w:firstLine="540"/>
        <w:jc w:val="both"/>
        <w:spacing w:before="200" w:after="0"/>
      </w:pPr>
      <w:r>
        <w:rPr>
          <w:sz w:val="28"/>
          <w:szCs w:val="28"/>
        </w:rPr>
        <w:t xml:space="preserve">Формирование планов профилактических мероприятий осуществляется ежегодно в соответствии с требованиями</w:t>
      </w:r>
      <w:r>
        <w:rPr>
          <w:color w:val="000000"/>
          <w:sz w:val="28"/>
          <w:szCs w:val="28"/>
        </w:rPr>
        <w:t xml:space="preserve"> </w:t>
      </w:r>
      <w:hyperlink r:id="rId25" w:tooltip="consultantplus://offline/ref=B67DE09DB20FBA2A862EDF179AF93EAAA7583FEBB8AECC6EF279D8DB6F7EEC635A33D922D459E0374C53AD3ACCE51E0DA5971E1F8Eg9q0G" w:history="1">
        <w:r>
          <w:rPr>
            <w:color w:val="000000"/>
            <w:sz w:val="28"/>
            <w:szCs w:val="28"/>
          </w:rPr>
          <w:t xml:space="preserve">статьи </w:t>
        </w:r>
      </w:hyperlink>
      <w:r>
        <w:rPr>
          <w:sz w:val="28"/>
          <w:szCs w:val="28"/>
        </w:rPr>
        <w:t xml:space="preserve">44 Федерального закона от 31.07.2020 № 248-ФЗ «О государственном  контроле (надзоре) и муниципальном контроле в Росси</w:t>
      </w:r>
      <w:r>
        <w:rPr>
          <w:sz w:val="28"/>
          <w:szCs w:val="28"/>
        </w:rPr>
        <w:t xml:space="preserve">йской Федерации», постановления Правительства Российской Федерации 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  <w:r/>
    </w:p>
    <w:p>
      <w:pPr>
        <w:pStyle w:val="711"/>
        <w:numPr>
          <w:ilvl w:val="0"/>
          <w:numId w:val="0"/>
        </w:numPr>
        <w:ind w:left="0" w:right="79" w:firstLine="567"/>
        <w:jc w:val="both"/>
        <w:widowControl w:val="off"/>
        <w:outlineLvl w:val="0"/>
      </w:pPr>
      <w:r>
        <w:rPr>
          <w:color w:val="26282f"/>
        </w:rPr>
      </w:r>
      <w:r/>
    </w:p>
    <w:p>
      <w:pPr>
        <w:pStyle w:val="711"/>
        <w:ind w:firstLine="540"/>
        <w:jc w:val="both"/>
      </w:pPr>
      <w:r>
        <w:rPr>
          <w:color w:val="000000"/>
          <w:sz w:val="28"/>
          <w:szCs w:val="28"/>
        </w:rPr>
        <w:t xml:space="preserve">Ежегодные планы профилактических мероприятий формируются по результатам анализа соблюдения обязательных требований при осуществлении государственного экологического контроля (</w:t>
      </w:r>
      <w:bookmarkStart w:id="0" w:name="undefined"/>
      <w:r/>
      <w:bookmarkEnd w:id="0"/>
      <w:r>
        <w:rPr>
          <w:color w:val="000000"/>
          <w:sz w:val="28"/>
          <w:szCs w:val="28"/>
        </w:rPr>
        <w:t xml:space="preserve">надзора) в сфере охраны окружающей среды.</w:t>
      </w:r>
      <w:r/>
    </w:p>
    <w:p>
      <w:pPr>
        <w:pStyle w:val="711"/>
        <w:ind w:firstLine="540"/>
        <w:jc w:val="both"/>
      </w:pPr>
      <w:r>
        <w:rPr>
          <w:color w:val="000000"/>
          <w:sz w:val="28"/>
          <w:szCs w:val="28"/>
        </w:rPr>
        <w:t xml:space="preserve">Корректировка планов профилактических мероприятий при необходимости осуществляется ежеквартально не позднее 20 числа месяца квартала, следующего за отчетным. </w:t>
      </w:r>
      <w:r/>
    </w:p>
    <w:p>
      <w:pPr>
        <w:pStyle w:val="711"/>
        <w:ind w:firstLine="540"/>
        <w:jc w:val="both"/>
      </w:pPr>
      <w:r>
        <w:rPr>
          <w:color w:val="000000"/>
          <w:sz w:val="28"/>
          <w:szCs w:val="28"/>
        </w:rPr>
        <w:t xml:space="preserve">Руководителем Программы является начальник отдела по экологии. </w:t>
      </w:r>
      <w:r/>
    </w:p>
    <w:p>
      <w:pPr>
        <w:pStyle w:val="711"/>
        <w:ind w:firstLine="540"/>
        <w:jc w:val="both"/>
      </w:pPr>
      <w:r>
        <w:rPr>
          <w:color w:val="000000"/>
          <w:sz w:val="28"/>
          <w:szCs w:val="28"/>
        </w:rPr>
        <w:t xml:space="preserve">В обязанности руководителя Программы входит организация и координирование   деятельности отдела по экологии и природопользованию  по реализации Программы.</w:t>
      </w:r>
      <w:r/>
    </w:p>
    <w:p>
      <w:pPr>
        <w:pStyle w:val="711"/>
        <w:ind w:firstLine="540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 xml:space="preserve">Перечень должностных лиц, ответственных за организацию  и проведение мероприятий Программы, представлен  в  плане мероприятий </w:t>
      </w:r>
      <w:r>
        <w:rPr>
          <w:sz w:val="28"/>
          <w:szCs w:val="28"/>
        </w:rPr>
        <w:t xml:space="preserve">по профилактике </w:t>
      </w:r>
      <w:r>
        <w:rPr>
          <w:rFonts w:eastAsia="Calibri"/>
          <w:sz w:val="28"/>
          <w:szCs w:val="28"/>
        </w:rPr>
        <w:t xml:space="preserve">рисков причинения вреда  охраняемым законом ценностям вследствие нарушений обязательных требований законодательства в сфере охраны окружающей среды</w:t>
      </w:r>
      <w:r>
        <w:rPr>
          <w:sz w:val="28"/>
          <w:szCs w:val="28"/>
        </w:rPr>
        <w:t xml:space="preserve"> на территории муниципального района Алексеевский Самарской области.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both"/>
        <w:rPr>
          <w:sz w:val="16"/>
          <w:szCs w:val="16"/>
        </w:rPr>
      </w:pPr>
      <w:r>
        <w:rPr>
          <w:sz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right"/>
        <w:widowControl w:val="off"/>
        <w:rPr>
          <w:rFonts w:ascii="Arial" w:hAnsi="Arial"/>
          <w:highlight w:val="none"/>
        </w:rPr>
      </w:pP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  <w:r>
        <w:rPr>
          <w:rFonts w:ascii="Arial" w:hAnsi="Arial"/>
          <w:highlight w:val="none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1133" w:bottom="1440" w:left="1134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MS Mincho;ＭＳ 明朝">
    <w:panose1 w:val="02000603000000000000"/>
  </w:font>
  <w:font w:name="Symbol">
    <w:panose1 w:val="05010000000000000000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Garamond">
    <w:panose1 w:val="02020502040504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10</w:t>
    </w:r>
    <w:r>
      <w:fldChar w:fldCharType="end"/>
    </w:r>
    <w:r/>
  </w:p>
  <w:p>
    <w:pPr>
      <w:pStyle w:val="7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8">
    <w:name w:val="Hyperlink"/>
    <w:uiPriority w:val="99"/>
    <w:unhideWhenUsed/>
    <w:rPr>
      <w:color w:val="0000ff" w:themeColor="hyperlink"/>
      <w:u w:val="single"/>
    </w:rPr>
  </w:style>
  <w:style w:type="character" w:styleId="709">
    <w:name w:val="footnote reference"/>
    <w:basedOn w:val="750"/>
    <w:uiPriority w:val="99"/>
    <w:unhideWhenUsed/>
    <w:rPr>
      <w:vertAlign w:val="superscript"/>
    </w:rPr>
  </w:style>
  <w:style w:type="character" w:styleId="710">
    <w:name w:val="endnote reference"/>
    <w:basedOn w:val="750"/>
    <w:uiPriority w:val="99"/>
    <w:semiHidden/>
    <w:unhideWhenUsed/>
    <w:rPr>
      <w:vertAlign w:val="superscript"/>
    </w:rPr>
  </w:style>
  <w:style w:type="paragraph" w:styleId="711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12">
    <w:name w:val="Heading 1"/>
    <w:basedOn w:val="783"/>
    <w:qFormat/>
    <w:pPr>
      <w:jc w:val="center"/>
      <w:keepNext/>
      <w:outlineLvl w:val="0"/>
    </w:pPr>
    <w:rPr>
      <w:sz w:val="24"/>
    </w:rPr>
  </w:style>
  <w:style w:type="paragraph" w:styleId="713">
    <w:name w:val="Heading 2"/>
    <w:basedOn w:val="783"/>
    <w:qFormat/>
    <w:pPr>
      <w:jc w:val="center"/>
      <w:keepNext/>
      <w:outlineLvl w:val="1"/>
    </w:pPr>
    <w:rPr>
      <w:rFonts w:ascii="Garamond" w:hAnsi="Garamond"/>
      <w:b/>
      <w:sz w:val="24"/>
    </w:rPr>
  </w:style>
  <w:style w:type="paragraph" w:styleId="714">
    <w:name w:val="Heading 3"/>
    <w:basedOn w:val="783"/>
    <w:qFormat/>
    <w:pPr>
      <w:jc w:val="center"/>
      <w:keepNext/>
      <w:outlineLvl w:val="2"/>
    </w:pPr>
    <w:rPr>
      <w:rFonts w:ascii="Garamond" w:hAnsi="Garamond"/>
      <w:b/>
      <w:sz w:val="18"/>
    </w:rPr>
  </w:style>
  <w:style w:type="paragraph" w:styleId="715">
    <w:name w:val="Heading 4"/>
    <w:basedOn w:val="783"/>
    <w:qFormat/>
    <w:pPr>
      <w:jc w:val="both"/>
      <w:keepNext/>
      <w:outlineLvl w:val="3"/>
    </w:pPr>
    <w:rPr>
      <w:sz w:val="28"/>
    </w:rPr>
  </w:style>
  <w:style w:type="paragraph" w:styleId="716">
    <w:name w:val="Heading 5"/>
    <w:basedOn w:val="783"/>
    <w:qFormat/>
    <w:pPr>
      <w:jc w:val="both"/>
      <w:keepNext/>
      <w:outlineLvl w:val="4"/>
    </w:pPr>
    <w:rPr>
      <w:b/>
      <w:bCs/>
      <w:sz w:val="28"/>
    </w:rPr>
  </w:style>
  <w:style w:type="paragraph" w:styleId="717">
    <w:name w:val="Heading 6"/>
    <w:basedOn w:val="783"/>
    <w:qFormat/>
    <w:pPr>
      <w:jc w:val="both"/>
      <w:keepNext/>
      <w:outlineLvl w:val="5"/>
    </w:pPr>
    <w:rPr>
      <w:b/>
      <w:bCs/>
      <w:sz w:val="24"/>
    </w:rPr>
  </w:style>
  <w:style w:type="paragraph" w:styleId="718">
    <w:name w:val="Heading 7"/>
    <w:uiPriority w:val="9"/>
    <w:unhideWhenUsed/>
    <w:qFormat/>
    <w:pPr>
      <w:jc w:val="left"/>
      <w:keepLines/>
      <w:keepNext/>
      <w:spacing w:before="320" w:after="200"/>
      <w:widowControl/>
      <w:outlineLvl w:val="6"/>
    </w:pPr>
    <w:rPr>
      <w:rFonts w:ascii="Arial" w:hAnsi="Arial" w:eastAsia="Arial" w:cs="Arial"/>
      <w:b/>
      <w:bCs/>
      <w:i/>
      <w:iCs/>
      <w:color w:val="auto"/>
      <w:sz w:val="22"/>
      <w:szCs w:val="22"/>
      <w:lang w:val="ru-RU" w:eastAsia="zh-CN" w:bidi="ar-SA"/>
    </w:rPr>
  </w:style>
  <w:style w:type="paragraph" w:styleId="719">
    <w:name w:val="Heading 8"/>
    <w:basedOn w:val="783"/>
    <w:semiHidden/>
    <w:qFormat/>
    <w:pPr>
      <w:spacing w:before="240" w:after="60"/>
      <w:outlineLvl w:val="7"/>
    </w:pPr>
    <w:rPr>
      <w:rFonts w:ascii="Calibri" w:hAnsi="Calibri" w:eastAsia="Times New Roman"/>
      <w:i/>
      <w:iCs/>
      <w:sz w:val="24"/>
      <w:szCs w:val="24"/>
    </w:rPr>
  </w:style>
  <w:style w:type="paragraph" w:styleId="720">
    <w:name w:val="Heading 9"/>
    <w:uiPriority w:val="9"/>
    <w:unhideWhenUsed/>
    <w:qFormat/>
    <w:pPr>
      <w:jc w:val="left"/>
      <w:keepLines/>
      <w:keepNext/>
      <w:spacing w:before="320" w:after="200"/>
      <w:widowControl/>
      <w:outlineLvl w:val="8"/>
    </w:pPr>
    <w:rPr>
      <w:rFonts w:ascii="Arial" w:hAnsi="Arial" w:eastAsia="Arial" w:cs="Arial"/>
      <w:i/>
      <w:iCs/>
      <w:color w:val="auto"/>
      <w:sz w:val="21"/>
      <w:szCs w:val="21"/>
      <w:lang w:val="ru-RU" w:eastAsia="zh-CN" w:bidi="ar-SA"/>
    </w:rPr>
  </w:style>
  <w:style w:type="character" w:styleId="721">
    <w:name w:val="Интернет-ссылка"/>
    <w:uiPriority w:val="99"/>
    <w:unhideWhenUsed/>
    <w:rPr>
      <w:color w:val="0000ff" w:themeColor="hyperlink"/>
      <w:u w:val="single"/>
    </w:rPr>
  </w:style>
  <w:style w:type="character" w:styleId="722">
    <w:name w:val="Привязка сноски"/>
    <w:rPr>
      <w:vertAlign w:val="superscript"/>
    </w:rPr>
  </w:style>
  <w:style w:type="character" w:styleId="723">
    <w:name w:val="Footnote Characters"/>
    <w:basedOn w:val="750"/>
    <w:uiPriority w:val="99"/>
    <w:unhideWhenUsed/>
    <w:qFormat/>
    <w:rPr>
      <w:vertAlign w:val="superscript"/>
    </w:rPr>
  </w:style>
  <w:style w:type="character" w:styleId="724">
    <w:name w:val="Привязка концевой сноски"/>
    <w:rPr>
      <w:vertAlign w:val="superscript"/>
    </w:rPr>
  </w:style>
  <w:style w:type="character" w:styleId="725">
    <w:name w:val="Endnote Characters"/>
    <w:basedOn w:val="750"/>
    <w:uiPriority w:val="99"/>
    <w:semiHidden/>
    <w:unhideWhenUsed/>
    <w:qFormat/>
    <w:rPr>
      <w:vertAlign w:val="superscript"/>
    </w:rPr>
  </w:style>
  <w:style w:type="character" w:styleId="726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27">
    <w:name w:val="Heading 2 Char"/>
    <w:uiPriority w:val="9"/>
    <w:qFormat/>
    <w:rPr>
      <w:rFonts w:ascii="Arial" w:hAnsi="Arial" w:eastAsia="Arial" w:cs="Arial"/>
      <w:sz w:val="34"/>
    </w:rPr>
  </w:style>
  <w:style w:type="character" w:styleId="728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29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30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3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32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33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34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35">
    <w:name w:val="Title Char"/>
    <w:uiPriority w:val="10"/>
    <w:qFormat/>
    <w:rPr>
      <w:sz w:val="48"/>
      <w:szCs w:val="48"/>
    </w:rPr>
  </w:style>
  <w:style w:type="character" w:styleId="736">
    <w:name w:val="Subtitle Char"/>
    <w:uiPriority w:val="11"/>
    <w:qFormat/>
    <w:rPr>
      <w:sz w:val="24"/>
      <w:szCs w:val="24"/>
    </w:rPr>
  </w:style>
  <w:style w:type="character" w:styleId="737">
    <w:name w:val="Quote Char"/>
    <w:uiPriority w:val="29"/>
    <w:qFormat/>
    <w:rPr>
      <w:i/>
    </w:rPr>
  </w:style>
  <w:style w:type="character" w:styleId="738">
    <w:name w:val="Intense Quote Char"/>
    <w:uiPriority w:val="30"/>
    <w:qFormat/>
    <w:rPr>
      <w:i/>
    </w:rPr>
  </w:style>
  <w:style w:type="character" w:styleId="739">
    <w:name w:val="Header Char"/>
    <w:uiPriority w:val="99"/>
    <w:qFormat/>
  </w:style>
  <w:style w:type="character" w:styleId="740">
    <w:name w:val="Footer Char"/>
    <w:uiPriority w:val="99"/>
    <w:qFormat/>
  </w:style>
  <w:style w:type="character" w:styleId="741">
    <w:name w:val="Caption Char"/>
    <w:uiPriority w:val="99"/>
    <w:qFormat/>
  </w:style>
  <w:style w:type="character" w:styleId="742">
    <w:name w:val="Footnote Text Char"/>
    <w:uiPriority w:val="99"/>
    <w:qFormat/>
    <w:rPr>
      <w:sz w:val="18"/>
    </w:rPr>
  </w:style>
  <w:style w:type="character" w:styleId="743">
    <w:name w:val="Endnote Text Char"/>
    <w:uiPriority w:val="99"/>
    <w:qFormat/>
    <w:rPr>
      <w:sz w:val="20"/>
    </w:rPr>
  </w:style>
  <w:style w:type="character" w:styleId="744">
    <w:name w:val="Основной шрифт абзаца"/>
    <w:semiHidden/>
    <w:qFormat/>
  </w:style>
  <w:style w:type="character" w:styleId="745">
    <w:name w:val="Заголовок 8 Знак"/>
    <w:semiHidden/>
    <w:qFormat/>
    <w:rPr>
      <w:rFonts w:ascii="Calibri" w:hAnsi="Calibri" w:eastAsia="Times New Roman"/>
      <w:i/>
      <w:iCs/>
      <w:sz w:val="24"/>
      <w:szCs w:val="24"/>
    </w:rPr>
  </w:style>
  <w:style w:type="character" w:styleId="746">
    <w:name w:val="Верхний колонтитул Знак"/>
    <w:basedOn w:val="744"/>
    <w:qFormat/>
  </w:style>
  <w:style w:type="character" w:styleId="747">
    <w:name w:val="Нижний колонтитул Знак"/>
    <w:basedOn w:val="744"/>
    <w:qFormat/>
  </w:style>
  <w:style w:type="character" w:styleId="748">
    <w:name w:val="Текст выноски Знак"/>
    <w:semiHidden/>
    <w:qFormat/>
    <w:rPr>
      <w:rFonts w:ascii="Tahoma" w:hAnsi="Tahoma"/>
      <w:sz w:val="16"/>
      <w:szCs w:val="16"/>
    </w:rPr>
  </w:style>
  <w:style w:type="character" w:styleId="749">
    <w:name w:val="Гиперссылка"/>
    <w:qFormat/>
    <w:rPr>
      <w:color w:val="0000ff"/>
      <w:u w:val="single"/>
    </w:rPr>
  </w:style>
  <w:style w:type="character" w:styleId="750" w:default="1">
    <w:name w:val="Default Paragraph Font"/>
    <w:uiPriority w:val="1"/>
    <w:semiHidden/>
    <w:unhideWhenUsed/>
    <w:qFormat/>
  </w:style>
  <w:style w:type="character" w:styleId="751">
    <w:name w:val="WW8Num10z0"/>
    <w:qFormat/>
    <w:rPr>
      <w:rFonts w:ascii="Symbol" w:hAnsi="Symbol" w:cs="Symbol"/>
    </w:rPr>
  </w:style>
  <w:style w:type="character" w:styleId="752">
    <w:name w:val="WW8Num10z1"/>
    <w:qFormat/>
    <w:rPr>
      <w:rFonts w:ascii="Courier New" w:hAnsi="Courier New" w:cs="Courier New"/>
    </w:rPr>
  </w:style>
  <w:style w:type="character" w:styleId="753">
    <w:name w:val="WW8Num10z2"/>
    <w:qFormat/>
    <w:rPr>
      <w:rFonts w:ascii="Wingdings" w:hAnsi="Wingdings" w:cs="Wingdings"/>
    </w:rPr>
  </w:style>
  <w:style w:type="paragraph" w:styleId="754">
    <w:name w:val="Заголовок"/>
    <w:basedOn w:val="711"/>
    <w:next w:val="75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55">
    <w:name w:val="Body Text"/>
    <w:basedOn w:val="783"/>
    <w:rPr>
      <w:sz w:val="28"/>
    </w:rPr>
  </w:style>
  <w:style w:type="paragraph" w:styleId="756">
    <w:name w:val="List"/>
    <w:basedOn w:val="755"/>
    <w:rPr>
      <w:rFonts w:ascii="PT Astra Serif" w:hAnsi="PT Astra Serif" w:cs="Noto Sans Devanagari"/>
    </w:rPr>
  </w:style>
  <w:style w:type="paragraph" w:styleId="757">
    <w:name w:val="Caption"/>
    <w:uiPriority w:val="35"/>
    <w:semiHidden/>
    <w:unhideWhenUsed/>
    <w:qFormat/>
    <w:pPr>
      <w:jc w:val="left"/>
      <w:spacing w:before="0" w:after="0" w:line="276" w:lineRule="auto"/>
      <w:widowControl/>
    </w:pPr>
    <w:rPr>
      <w:rFonts w:ascii="Times New Roman" w:hAnsi="Times New Roman" w:eastAsia="Times New Roman" w:cs="Times New Roman"/>
      <w:b/>
      <w:bCs/>
      <w:color w:val="4f81bd" w:themeColor="accent1"/>
      <w:sz w:val="18"/>
      <w:szCs w:val="18"/>
      <w:lang w:val="ru-RU" w:eastAsia="zh-CN" w:bidi="ar-SA"/>
    </w:rPr>
  </w:style>
  <w:style w:type="paragraph" w:styleId="758">
    <w:name w:val="Указатель"/>
    <w:basedOn w:val="711"/>
    <w:qFormat/>
    <w:pPr>
      <w:suppressLineNumbers/>
    </w:pPr>
    <w:rPr>
      <w:rFonts w:ascii="PT Astra Serif" w:hAnsi="PT Astra Serif" w:cs="Noto Sans Devanagari"/>
    </w:rPr>
  </w:style>
  <w:style w:type="paragraph" w:styleId="759">
    <w:name w:val="table of figures"/>
    <w:basedOn w:val="711"/>
    <w:next w:val="711"/>
    <w:uiPriority w:val="99"/>
    <w:unhideWhenUsed/>
    <w:qFormat/>
    <w:pPr>
      <w:spacing w:before="0" w:after="0" w:afterAutospacing="0"/>
    </w:pPr>
  </w:style>
  <w:style w:type="paragraph" w:styleId="760">
    <w:name w:val="List Paragraph"/>
    <w:uiPriority w:val="34"/>
    <w:qFormat/>
    <w:pPr>
      <w:contextualSpacing/>
      <w:ind w:left="720" w:firstLine="0"/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1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2">
    <w:name w:val="Title"/>
    <w:uiPriority w:val="10"/>
    <w:qFormat/>
    <w:pPr>
      <w:contextualSpacing/>
      <w:jc w:val="left"/>
      <w:spacing w:before="300" w:after="200"/>
      <w:widowControl/>
    </w:pPr>
    <w:rPr>
      <w:rFonts w:ascii="Times New Roman" w:hAnsi="Times New Roman" w:eastAsia="Times New Roman" w:cs="Times New Roman"/>
      <w:color w:val="auto"/>
      <w:sz w:val="48"/>
      <w:szCs w:val="48"/>
      <w:lang w:val="ru-RU" w:eastAsia="zh-CN" w:bidi="ar-SA"/>
    </w:rPr>
  </w:style>
  <w:style w:type="paragraph" w:styleId="763">
    <w:name w:val="Subtitle"/>
    <w:uiPriority w:val="11"/>
    <w:qFormat/>
    <w:pPr>
      <w:jc w:val="left"/>
      <w:spacing w:before="200" w:after="20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764">
    <w:name w:val="Quote"/>
    <w:uiPriority w:val="29"/>
    <w:qFormat/>
    <w:pPr>
      <w:ind w:left="720" w:right="720" w:firstLine="0"/>
      <w:jc w:val="left"/>
      <w:spacing w:before="0" w:after="0"/>
      <w:widowControl/>
    </w:pPr>
    <w:rPr>
      <w:rFonts w:ascii="Times New Roman" w:hAnsi="Times New Roman" w:eastAsia="Times New Roman" w:cs="Times New Roman"/>
      <w:i/>
      <w:color w:val="auto"/>
      <w:sz w:val="20"/>
      <w:szCs w:val="20"/>
      <w:lang w:val="ru-RU" w:eastAsia="zh-CN" w:bidi="ar-SA"/>
    </w:rPr>
  </w:style>
  <w:style w:type="paragraph" w:styleId="765">
    <w:name w:val="Intense Quote"/>
    <w:uiPriority w:val="30"/>
    <w:qFormat/>
    <w:pPr>
      <w:ind w:left="720" w:right="720" w:firstLine="0"/>
      <w:jc w:val="left"/>
      <w:spacing w:before="0" w:after="0"/>
      <w:shd w:val="clear" w:color="f2f2f2" w:fill="f2f2f2"/>
      <w:widowControl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Times New Roman" w:hAnsi="Times New Roman" w:eastAsia="Times New Roman" w:cs="Times New Roman"/>
      <w:i/>
      <w:color w:val="auto"/>
      <w:sz w:val="20"/>
      <w:szCs w:val="20"/>
      <w:lang w:val="ru-RU" w:eastAsia="zh-CN" w:bidi="ar-SA"/>
    </w:rPr>
  </w:style>
  <w:style w:type="paragraph" w:styleId="766">
    <w:name w:val="Верхний и нижний колонтитулы"/>
    <w:basedOn w:val="711"/>
    <w:qFormat/>
  </w:style>
  <w:style w:type="paragraph" w:styleId="767">
    <w:name w:val="Колонтитул"/>
    <w:basedOn w:val="711"/>
    <w:qFormat/>
  </w:style>
  <w:style w:type="paragraph" w:styleId="768">
    <w:name w:val="Header"/>
    <w:basedOn w:val="783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69">
    <w:name w:val="Footer"/>
    <w:basedOn w:val="783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70">
    <w:name w:val="footnote text"/>
    <w:uiPriority w:val="99"/>
    <w:semiHidden/>
    <w:unhideWhenUsed/>
    <w:pPr>
      <w:jc w:val="left"/>
      <w:spacing w:before="0" w:after="40" w:line="240" w:lineRule="auto"/>
      <w:widowControl/>
    </w:pPr>
    <w:rPr>
      <w:rFonts w:ascii="Times New Roman" w:hAnsi="Times New Roman" w:eastAsia="Times New Roman" w:cs="Times New Roman"/>
      <w:color w:val="auto"/>
      <w:sz w:val="18"/>
      <w:szCs w:val="20"/>
      <w:lang w:val="ru-RU" w:eastAsia="zh-CN" w:bidi="ar-SA"/>
    </w:rPr>
  </w:style>
  <w:style w:type="paragraph" w:styleId="771">
    <w:name w:val="endnote text"/>
    <w:uiPriority w:val="99"/>
    <w:semiHidden/>
    <w:unhideWhenUsed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2">
    <w:name w:val="toc 1"/>
    <w:uiPriority w:val="39"/>
    <w:unhideWhenUsed/>
    <w:pPr>
      <w:ind w:left="0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3">
    <w:name w:val="toc 2"/>
    <w:uiPriority w:val="39"/>
    <w:unhideWhenUsed/>
    <w:pPr>
      <w:ind w:left="283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4">
    <w:name w:val="toc 3"/>
    <w:uiPriority w:val="39"/>
    <w:unhideWhenUsed/>
    <w:pPr>
      <w:ind w:left="567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5">
    <w:name w:val="toc 4"/>
    <w:uiPriority w:val="39"/>
    <w:unhideWhenUsed/>
    <w:pPr>
      <w:ind w:left="850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6">
    <w:name w:val="toc 5"/>
    <w:uiPriority w:val="39"/>
    <w:unhideWhenUsed/>
    <w:pPr>
      <w:ind w:left="1134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7">
    <w:name w:val="toc 6"/>
    <w:uiPriority w:val="39"/>
    <w:unhideWhenUsed/>
    <w:pPr>
      <w:ind w:left="1417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8">
    <w:name w:val="toc 7"/>
    <w:uiPriority w:val="39"/>
    <w:unhideWhenUsed/>
    <w:pPr>
      <w:ind w:left="1701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79">
    <w:name w:val="toc 8"/>
    <w:uiPriority w:val="39"/>
    <w:unhideWhenUsed/>
    <w:pPr>
      <w:ind w:left="1984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80">
    <w:name w:val="toc 9"/>
    <w:uiPriority w:val="39"/>
    <w:unhideWhenUsed/>
    <w:pPr>
      <w:ind w:left="2268" w:right="0" w:firstLine="0"/>
      <w:jc w:val="left"/>
      <w:spacing w:before="0" w:after="57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81">
    <w:name w:val="Index Heading"/>
    <w:basedOn w:val="754"/>
  </w:style>
  <w:style w:type="paragraph" w:styleId="782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83">
    <w:name w:val="Обычный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784">
    <w:name w:val="Основной текст 2"/>
    <w:basedOn w:val="783"/>
    <w:qFormat/>
    <w:pPr>
      <w:jc w:val="both"/>
    </w:pPr>
    <w:rPr>
      <w:sz w:val="28"/>
    </w:rPr>
  </w:style>
  <w:style w:type="paragraph" w:styleId="785">
    <w:name w:val="Body Text Indent"/>
    <w:basedOn w:val="783"/>
    <w:pPr>
      <w:ind w:left="283" w:firstLine="0"/>
      <w:spacing w:before="0" w:after="120"/>
    </w:pPr>
  </w:style>
  <w:style w:type="paragraph" w:styleId="786">
    <w:name w:val="Текст выноски"/>
    <w:basedOn w:val="783"/>
    <w:semiHidden/>
    <w:qFormat/>
    <w:rPr>
      <w:rFonts w:ascii="Tahoma" w:hAnsi="Tahoma"/>
      <w:sz w:val="16"/>
      <w:szCs w:val="16"/>
    </w:rPr>
  </w:style>
  <w:style w:type="paragraph" w:styleId="787" w:customStyle="1">
    <w:name w:val=".FORMATTEXT"/>
    <w:uiPriority w:val="9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Arial" w:hAnsi="Arial" w:eastAsia="Calibri" w:cs="Arial"/>
      <w:b w:val="0"/>
      <w:bCs w:val="0"/>
      <w:i w:val="0"/>
      <w:iCs w:val="0"/>
      <w:caps w:val="0"/>
      <w:smallCaps w:val="0"/>
      <w:strike w:val="0"/>
      <w:vanish w:val="0"/>
      <w:color w:val="ffffff"/>
      <w:spacing w:val="0"/>
      <w:position w:val="0"/>
      <w:sz w:val="20"/>
      <w:szCs w:val="20"/>
      <w:highlight w:val="black"/>
      <w:u w:val="none"/>
      <w:shd w:val="clear" w:color="auto" w:fill="000000"/>
      <w:vertAlign w:val="baseline"/>
      <w:lang w:val="ru-RU" w:eastAsia="ru-RU" w:bidi="ar-SA"/>
    </w:rPr>
  </w:style>
  <w:style w:type="paragraph" w:styleId="788">
    <w:name w:val="Normal (Web)"/>
    <w:uiPriority w:val="99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ffffff"/>
      <w:spacing w:val="0"/>
      <w:position w:val="0"/>
      <w:sz w:val="24"/>
      <w:szCs w:val="24"/>
      <w:highlight w:val="black"/>
      <w:u w:val="none"/>
      <w:shd w:val="clear" w:color="auto" w:fill="000000"/>
      <w:vertAlign w:val="baseline"/>
      <w:lang w:val="ru-RU" w:eastAsia="ru-RU" w:bidi="ar-SA"/>
    </w:rPr>
  </w:style>
  <w:style w:type="paragraph" w:styleId="789">
    <w:name w:val="Содержимое врезки"/>
    <w:basedOn w:val="711"/>
    <w:qFormat/>
  </w:style>
  <w:style w:type="paragraph" w:styleId="790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zh-CN" w:bidi="ar-SA"/>
    </w:rPr>
  </w:style>
  <w:style w:type="paragraph" w:styleId="791">
    <w:name w:val="Содержимое таблицы"/>
    <w:basedOn w:val="711"/>
    <w:qFormat/>
    <w:pPr>
      <w:suppressLineNumbers/>
    </w:pPr>
  </w:style>
  <w:style w:type="paragraph" w:styleId="792">
    <w:name w:val="Заголовок таблицы"/>
    <w:basedOn w:val="791"/>
    <w:qFormat/>
    <w:pPr>
      <w:jc w:val="center"/>
      <w:suppressLineNumbers/>
    </w:pPr>
    <w:rPr>
      <w:b/>
      <w:bCs/>
    </w:rPr>
  </w:style>
  <w:style w:type="numbering" w:styleId="793">
    <w:name w:val="Нет списка"/>
    <w:semiHidden/>
    <w:qFormat/>
  </w:style>
  <w:style w:type="numbering" w:styleId="794" w:default="1">
    <w:name w:val="No List"/>
    <w:uiPriority w:val="99"/>
    <w:semiHidden/>
    <w:unhideWhenUsed/>
    <w:qFormat/>
  </w:style>
  <w:style w:type="numbering" w:styleId="795">
    <w:name w:val="WW8Num10"/>
    <w:qFormat/>
  </w:style>
  <w:style w:type="table" w:styleId="79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9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0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2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2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2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2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83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83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83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83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83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83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83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3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4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4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4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4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4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4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6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6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6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6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6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6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6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8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8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9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9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9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9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9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9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9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9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9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9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0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0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90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90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90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90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90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5"/>
      </w:tcPr>
    </w:tblStylePr>
    <w:tblStylePr w:type="firstRow">
      <w:rPr>
        <w:color w:val="f2f2f2"/>
        <w:sz w:val="22"/>
      </w:rPr>
      <w:tcPr>
        <w:shd w:val="clear" w:color="ffffff" w:fill="ffffff" w:themeFill="accent5"/>
      </w:tcPr>
    </w:tblStylePr>
    <w:tblStylePr w:type="lastCol">
      <w:rPr>
        <w:color w:val="f2f2f2"/>
        <w:sz w:val="22"/>
      </w:rPr>
      <w:tcPr>
        <w:shd w:val="clear" w:color="ffffff" w:fill="ffffff" w:themeFill="accent5"/>
      </w:tcPr>
    </w:tblStylePr>
    <w:tblStylePr w:type="lastRow">
      <w:rPr>
        <w:color w:val="f2f2f2"/>
        <w:sz w:val="22"/>
      </w:rPr>
      <w:tcPr>
        <w:shd w:val="clear" w:color="ffffff" w:fill="ffffff" w:themeFill="accent5"/>
      </w:tcPr>
    </w:tblStylePr>
  </w:style>
  <w:style w:type="table" w:styleId="90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6"/>
      </w:tcPr>
    </w:tblStylePr>
    <w:tblStylePr w:type="firstRow">
      <w:rPr>
        <w:color w:val="f2f2f2"/>
        <w:sz w:val="22"/>
      </w:rPr>
      <w:tcPr>
        <w:shd w:val="clear" w:color="ffffff" w:fill="ffffff" w:themeFill="accent6"/>
      </w:tcPr>
    </w:tblStylePr>
    <w:tblStylePr w:type="lastCol">
      <w:rPr>
        <w:color w:val="f2f2f2"/>
        <w:sz w:val="22"/>
      </w:rPr>
      <w:tcPr>
        <w:shd w:val="clear" w:color="ffffff" w:fill="ffffff" w:themeFill="accent6"/>
      </w:tcPr>
    </w:tblStylePr>
    <w:tblStylePr w:type="lastRow">
      <w:rPr>
        <w:color w:val="f2f2f2"/>
        <w:sz w:val="22"/>
      </w:rPr>
      <w:tcPr>
        <w:shd w:val="clear" w:color="ffffff" w:fill="ffffff" w:themeFill="accent6"/>
      </w:tcPr>
    </w:tblStylePr>
  </w:style>
  <w:style w:type="table" w:styleId="90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text1" w:themeFillTint="00"/>
      </w:tcPr>
    </w:tblStylePr>
    <w:tblStylePr w:type="band2Vert">
      <w:rPr>
        <w:color w:val="404040"/>
        <w:sz w:val="22"/>
      </w:rPr>
      <w:tcPr>
        <w:shd w:val="clear" w:color="ffffff" w:fill="ffffff" w:themeFill="text1" w:themeFillTint="00"/>
      </w:tcPr>
    </w:tblStylePr>
    <w:tblStylePr w:type="fir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90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91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91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91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91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5"/>
      </w:tcPr>
    </w:tblStylePr>
    <w:tblStylePr w:type="firstRow">
      <w:rPr>
        <w:color w:val="f2f2f2"/>
        <w:sz w:val="22"/>
      </w:rPr>
      <w:tcPr>
        <w:shd w:val="clear" w:color="ffffff" w:fill="ffffff" w:themeFill="accent5"/>
      </w:tcPr>
    </w:tblStylePr>
    <w:tblStylePr w:type="lastCol">
      <w:rPr>
        <w:color w:val="f2f2f2"/>
        <w:sz w:val="22"/>
      </w:rPr>
      <w:tcPr>
        <w:shd w:val="clear" w:color="ffffff" w:fill="ffffff" w:themeFill="accent5"/>
      </w:tcPr>
    </w:tblStylePr>
    <w:tblStylePr w:type="lastRow">
      <w:rPr>
        <w:color w:val="f2f2f2"/>
        <w:sz w:val="22"/>
      </w:rPr>
      <w:tcPr>
        <w:shd w:val="clear" w:color="ffffff" w:fill="ffffff" w:themeFill="accent5"/>
      </w:tcPr>
    </w:tblStylePr>
  </w:style>
  <w:style w:type="table" w:styleId="91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fffff" w:themeFill="accent6"/>
      </w:tcPr>
    </w:tblStylePr>
    <w:tblStylePr w:type="firstRow">
      <w:rPr>
        <w:color w:val="f2f2f2"/>
        <w:sz w:val="22"/>
      </w:rPr>
      <w:tcPr>
        <w:shd w:val="clear" w:color="ffffff" w:fill="ffffff" w:themeFill="accent6"/>
      </w:tcPr>
    </w:tblStylePr>
    <w:tblStylePr w:type="lastCol">
      <w:rPr>
        <w:color w:val="f2f2f2"/>
        <w:sz w:val="22"/>
      </w:rPr>
      <w:tcPr>
        <w:shd w:val="clear" w:color="ffffff" w:fill="ffffff" w:themeFill="accent6"/>
      </w:tcPr>
    </w:tblStylePr>
    <w:tblStylePr w:type="lastRow">
      <w:rPr>
        <w:color w:val="f2f2f2"/>
        <w:sz w:val="22"/>
      </w:rPr>
      <w:tcPr>
        <w:shd w:val="clear" w:color="ffffff" w:fill="ffffff" w:themeFill="accent6"/>
      </w:tcPr>
    </w:tblStylePr>
  </w:style>
  <w:style w:type="table" w:styleId="91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1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1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1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2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2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2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yperlink" Target="mailto:adm@alexadm63.ru" TargetMode="External"/><Relationship Id="rId14" Type="http://schemas.openxmlformats.org/officeDocument/2006/relationships/hyperlink" Target="kodeks://link/d?nd=573292854" TargetMode="External"/><Relationship Id="rId15" Type="http://schemas.openxmlformats.org/officeDocument/2006/relationships/hyperlink" Target="consultantplus://offline/ref=35D5E16C2385AA33BDDCCC68C7DD9627026F8608BB3CF70433A171wFV0L" TargetMode="External"/><Relationship Id="rId16" Type="http://schemas.openxmlformats.org/officeDocument/2006/relationships/hyperlink" Target="consultantplus://offline/ref=35D5E16C2385AA33BDDCCC68C7DD962702678905B26CA00662F47FF5E6w2V8L" TargetMode="External"/><Relationship Id="rId17" Type="http://schemas.openxmlformats.org/officeDocument/2006/relationships/hyperlink" Target="consultantplus://offline/ref=35D5E16C2385AA33BDDCCC68C7DD96270267810FB169A00662F47FF5E6w2V8L" TargetMode="External"/><Relationship Id="rId18" Type="http://schemas.openxmlformats.org/officeDocument/2006/relationships/hyperlink" Target="consultantplus://offline/ref=35D5E16C2385AA33BDDCCC68C7DD96270267810DB763A00662F47FF5E6w2V8L" TargetMode="External"/><Relationship Id="rId19" Type="http://schemas.openxmlformats.org/officeDocument/2006/relationships/hyperlink" Target="consultantplus://offline/ref=35D5E16C2385AA33BDDCCC68C7DD962702678905B26CA00662F47FF5E6w2V8L" TargetMode="External"/><Relationship Id="rId20" Type="http://schemas.openxmlformats.org/officeDocument/2006/relationships/hyperlink" Target="consultantplus://offline/ref=35D5E16C2385AA33BDDCCC68C7DD96270267800CB56BA00662F47FF5E6w2V8L" TargetMode="External"/><Relationship Id="rId21" Type="http://schemas.openxmlformats.org/officeDocument/2006/relationships/hyperlink" Target="consultantplus://offline/ref=35D5E16C2385AA33BDDCCC68C7DD9627016F890EB562A00662F47FF5E62858D3E663B2D34BF922FDwCV6L" TargetMode="External"/><Relationship Id="rId22" Type="http://schemas.openxmlformats.org/officeDocument/2006/relationships/hyperlink" Target="consultantplus://offline/ref=35D5E16C2385AA33BDDCCC68C7DD962702678009B068A00662F47FF5E6w2V8L" TargetMode="External"/><Relationship Id="rId23" Type="http://schemas.openxmlformats.org/officeDocument/2006/relationships/hyperlink" Target="consultantplus://offline/ref=35D5E16C2385AA33BDDCCC68C7DD962702678009B068A00662F47FF5E6w2V8L" TargetMode="External"/><Relationship Id="rId24" Type="http://schemas.openxmlformats.org/officeDocument/2006/relationships/hyperlink" Target="consultantplus://offline/ref=35D5E16C2385AA33BDDCD265D1B1CA2F066CDF00B86BA35137AB24A8B1215284A12CEB910FF423FAC65C8Cw8VFL" TargetMode="External"/><Relationship Id="rId25" Type="http://schemas.openxmlformats.org/officeDocument/2006/relationships/hyperlink" Target="consultantplus://offline/ref=B67DE09DB20FBA2A862EDF179AF93EAAA7583FEBB8AECC6EF279D8DB6F7EEC635A33D922D459E0374C53AD3ACCE51E0DA5971E1F8Eg9q0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22</cp:revision>
  <dcterms:modified xsi:type="dcterms:W3CDTF">2024-10-02T12:43:04Z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